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723E2" w14:textId="447D524A"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84404C">
        <w:rPr>
          <w:rFonts w:eastAsia="Calibri" w:cs="Arial"/>
          <w:b/>
          <w:bCs/>
          <w:sz w:val="24"/>
          <w:szCs w:val="21"/>
        </w:rPr>
        <w:t>1</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A920F6" w:rsidRPr="00A920F6">
        <w:rPr>
          <w:rFonts w:eastAsia="Calibri" w:cs="Arial"/>
          <w:b/>
          <w:bCs/>
          <w:sz w:val="24"/>
          <w:szCs w:val="21"/>
        </w:rPr>
        <w:t>R1-2504440</w:t>
      </w:r>
    </w:p>
    <w:bookmarkEnd w:id="0"/>
    <w:p w14:paraId="7D9866EB" w14:textId="7D902803" w:rsidR="002A4FEA" w:rsidRPr="000153E7" w:rsidRDefault="00D01F81" w:rsidP="002A4FEA">
      <w:pPr>
        <w:pStyle w:val="CRCoverPage"/>
        <w:tabs>
          <w:tab w:val="right" w:pos="9639"/>
        </w:tabs>
        <w:spacing w:after="0"/>
        <w:rPr>
          <w:b/>
          <w:sz w:val="24"/>
        </w:rPr>
      </w:pPr>
      <w:r w:rsidRPr="00D01F81">
        <w:rPr>
          <w:rFonts w:eastAsia="MS Mincho"/>
          <w:b/>
          <w:bCs/>
          <w:sz w:val="24"/>
          <w:szCs w:val="21"/>
          <w:lang w:eastAsia="ja-JP"/>
        </w:rPr>
        <w:t>St Julian’s, Malta</w:t>
      </w:r>
      <w:r w:rsidR="002A4FEA">
        <w:rPr>
          <w:rFonts w:eastAsia="MS Mincho"/>
          <w:b/>
          <w:bCs/>
          <w:sz w:val="24"/>
          <w:szCs w:val="21"/>
          <w:lang w:eastAsia="ja-JP"/>
        </w:rPr>
        <w:t xml:space="preserve">, </w:t>
      </w:r>
      <w:r>
        <w:rPr>
          <w:rFonts w:eastAsia="MS Mincho"/>
          <w:b/>
          <w:bCs/>
          <w:sz w:val="24"/>
          <w:szCs w:val="21"/>
          <w:lang w:eastAsia="ja-JP"/>
        </w:rPr>
        <w:t>May</w:t>
      </w:r>
      <w:r w:rsidR="002A4FEA" w:rsidRPr="000153E7">
        <w:rPr>
          <w:rFonts w:eastAsia="MS Mincho"/>
          <w:b/>
          <w:bCs/>
          <w:sz w:val="24"/>
          <w:szCs w:val="21"/>
          <w:lang w:eastAsia="ja-JP"/>
        </w:rPr>
        <w:t xml:space="preserve"> </w:t>
      </w:r>
      <w:r>
        <w:rPr>
          <w:rFonts w:eastAsia="MS Mincho"/>
          <w:b/>
          <w:bCs/>
          <w:sz w:val="24"/>
          <w:szCs w:val="21"/>
          <w:lang w:eastAsia="ja-JP"/>
        </w:rPr>
        <w:t>16</w:t>
      </w:r>
      <w:r w:rsidR="002A4FEA" w:rsidRPr="00741C7B">
        <w:rPr>
          <w:rFonts w:eastAsia="MS Mincho"/>
          <w:b/>
          <w:bCs/>
          <w:sz w:val="24"/>
          <w:szCs w:val="21"/>
          <w:vertAlign w:val="superscript"/>
          <w:lang w:eastAsia="ja-JP"/>
        </w:rPr>
        <w:t>th</w:t>
      </w:r>
      <w:r w:rsidR="002A4FEA" w:rsidRPr="000153E7">
        <w:rPr>
          <w:rFonts w:eastAsia="MS Mincho"/>
          <w:b/>
          <w:bCs/>
          <w:sz w:val="24"/>
          <w:szCs w:val="21"/>
          <w:lang w:eastAsia="ja-JP"/>
        </w:rPr>
        <w:t xml:space="preserve"> – </w:t>
      </w:r>
      <w:r>
        <w:rPr>
          <w:rFonts w:eastAsia="MS Mincho"/>
          <w:b/>
          <w:bCs/>
          <w:sz w:val="24"/>
          <w:szCs w:val="21"/>
          <w:lang w:eastAsia="ja-JP"/>
        </w:rPr>
        <w:t>23</w:t>
      </w:r>
      <w:r w:rsidRPr="00D01F81">
        <w:rPr>
          <w:rFonts w:eastAsia="MS Mincho"/>
          <w:b/>
          <w:bCs/>
          <w:sz w:val="24"/>
          <w:szCs w:val="21"/>
          <w:vertAlign w:val="superscript"/>
          <w:lang w:eastAsia="ja-JP"/>
        </w:rPr>
        <w:t>rd</w:t>
      </w:r>
      <w:r>
        <w:rPr>
          <w:rFonts w:eastAsia="MS Mincho"/>
          <w:b/>
          <w:bCs/>
          <w:sz w:val="24"/>
          <w:szCs w:val="21"/>
          <w:lang w:eastAsia="ja-JP"/>
        </w:rPr>
        <w:t>,</w:t>
      </w:r>
      <w:r w:rsidR="002A4FEA" w:rsidRPr="000153E7">
        <w:rPr>
          <w:rFonts w:eastAsia="MS Mincho"/>
          <w:b/>
          <w:bCs/>
          <w:sz w:val="24"/>
          <w:szCs w:val="21"/>
          <w:lang w:eastAsia="ja-JP"/>
        </w:rPr>
        <w:t xml:space="preserve"> 2025</w:t>
      </w:r>
    </w:p>
    <w:p w14:paraId="45FCDD50" w14:textId="77777777" w:rsidR="00F43039" w:rsidRPr="00CE0424" w:rsidRDefault="00F43039" w:rsidP="00F43039">
      <w:pPr>
        <w:pStyle w:val="3GPPHeader"/>
      </w:pPr>
    </w:p>
    <w:p w14:paraId="10C310FE" w14:textId="2045F676" w:rsidR="00F43039" w:rsidRPr="00B27750" w:rsidRDefault="00F43039" w:rsidP="00F43039">
      <w:pPr>
        <w:pStyle w:val="3GPPHeader"/>
        <w:rPr>
          <w:sz w:val="22"/>
        </w:rPr>
      </w:pPr>
      <w:r w:rsidRPr="00B27750">
        <w:rPr>
          <w:sz w:val="22"/>
        </w:rPr>
        <w:t>Agenda Item:</w:t>
      </w:r>
      <w:r w:rsidRPr="00B27750">
        <w:rPr>
          <w:sz w:val="22"/>
        </w:rPr>
        <w:tab/>
      </w:r>
      <w:r w:rsidR="00551D48">
        <w:rPr>
          <w:sz w:val="22"/>
        </w:rPr>
        <w:t>9.12.2</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3A807859" w:rsidR="00F43039" w:rsidRPr="00CE0424" w:rsidRDefault="00F43039" w:rsidP="00F43039">
      <w:pPr>
        <w:pStyle w:val="3GPPHeader"/>
        <w:rPr>
          <w:sz w:val="22"/>
        </w:rPr>
      </w:pPr>
      <w:r>
        <w:rPr>
          <w:sz w:val="22"/>
        </w:rPr>
        <w:t>Title:</w:t>
      </w:r>
      <w:r w:rsidRPr="00CE0424">
        <w:rPr>
          <w:sz w:val="22"/>
        </w:rPr>
        <w:tab/>
      </w:r>
      <w:r w:rsidR="00155750" w:rsidRPr="006626F4">
        <w:rPr>
          <w:sz w:val="22"/>
        </w:rPr>
        <w:t xml:space="preserve">Low band carrier aggregation </w:t>
      </w:r>
      <w:r w:rsidR="006626F4">
        <w:rPr>
          <w:sz w:val="22"/>
        </w:rPr>
        <w:t>through</w:t>
      </w:r>
      <w:r w:rsidR="00155750" w:rsidRPr="006626F4">
        <w:rPr>
          <w:sz w:val="22"/>
        </w:rPr>
        <w:t xml:space="preserve">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A175F51" w14:textId="592302AC" w:rsidR="00F472B6" w:rsidRDefault="00155750" w:rsidP="00155750">
      <w:pPr>
        <w:pStyle w:val="BodyText"/>
      </w:pPr>
      <w:r>
        <w:rPr>
          <w:noProof/>
        </w:rPr>
        <mc:AlternateContent>
          <mc:Choice Requires="wps">
            <w:drawing>
              <wp:anchor distT="45720" distB="45720" distL="114300" distR="114300" simplePos="0" relativeHeight="251658240" behindDoc="0" locked="0" layoutInCell="1" allowOverlap="1" wp14:anchorId="5155F497" wp14:editId="07008FB5">
                <wp:simplePos x="0" y="0"/>
                <wp:positionH relativeFrom="margin">
                  <wp:align>right</wp:align>
                </wp:positionH>
                <wp:positionV relativeFrom="paragraph">
                  <wp:posOffset>438150</wp:posOffset>
                </wp:positionV>
                <wp:extent cx="6096000" cy="4451350"/>
                <wp:effectExtent l="0" t="0" r="19050" b="25400"/>
                <wp:wrapTopAndBottom/>
                <wp:docPr id="762972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451350"/>
                        </a:xfrm>
                        <a:prstGeom prst="rect">
                          <a:avLst/>
                        </a:prstGeom>
                        <a:solidFill>
                          <a:srgbClr val="FFFFFF"/>
                        </a:solidFill>
                        <a:ln w="9525">
                          <a:solidFill>
                            <a:srgbClr val="000000"/>
                          </a:solidFill>
                          <a:miter lim="800000"/>
                          <a:headEnd/>
                          <a:tailEnd/>
                        </a:ln>
                      </wps:spPr>
                      <wps:txb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7C7C3E">
                              <w:rPr>
                                <w:rFonts w:ascii="Times New Roman" w:eastAsia="DengXian" w:hAnsi="Times New Roman" w:cs="Times New Roman"/>
                                <w:szCs w:val="20"/>
                                <w:highlight w:val="yellow"/>
                                <w:lang w:val="en-GB" w:eastAsia="en-GB"/>
                              </w:rPr>
                              <w:t>Specify</w:t>
                            </w:r>
                            <w:r w:rsidRPr="007C7C3E">
                              <w:rPr>
                                <w:rFonts w:ascii="Times New Roman" w:eastAsia="DengXian" w:hAnsi="Times New Roman" w:cs="Times New Roman"/>
                                <w:szCs w:val="20"/>
                                <w:lang w:val="en-GB" w:eastAsia="en-GB"/>
                              </w:rPr>
                              <w:t xml:space="preserve"> UE requirements, including at least switching gap (if needed), and </w:t>
                            </w:r>
                            <w:r w:rsidRPr="007C7C3E">
                              <w:rPr>
                                <w:rFonts w:ascii="Times New Roman" w:eastAsia="DengXian" w:hAnsi="Times New Roman" w:cs="Times New Roman"/>
                                <w:szCs w:val="20"/>
                                <w:highlight w:val="yellow"/>
                                <w:lang w:val="en-GB" w:eastAsia="en-GB"/>
                              </w:rPr>
                              <w:t>corresponding physical layer procedures to allow switching between {case 1, case 2}</w:t>
                            </w:r>
                            <w:r w:rsidRPr="007C7C3E">
                              <w:rPr>
                                <w:rFonts w:ascii="Times New Roman" w:eastAsia="DengXian" w:hAnsi="Times New Roman" w:cs="Times New Roman"/>
                                <w:szCs w:val="20"/>
                                <w:lang w:val="en-GB" w:eastAsia="en-GB"/>
                              </w:rPr>
                              <w:t xml:space="preserve"> [RAN4,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570D05D6"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highlight w:val="yellow"/>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1: Tx/Rx on FDD carrier 1 and no Rx on SDL carrier 2</w:t>
                            </w:r>
                          </w:p>
                          <w:p w14:paraId="29A5D98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DB05F4">
                              <w:rPr>
                                <w:rFonts w:ascii="Times New Roman" w:eastAsia="DengXian" w:hAnsi="Times New Roman" w:cs="Times New Roman"/>
                                <w:szCs w:val="20"/>
                                <w:lang w:val="en-GB" w:eastAsia="en-GB"/>
                              </w:rPr>
                              <w:t>Define the corresponding UE capabilities [RAN4, RAN2, RAN1]</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Note 2: Strive to minimize the RAN1 impact</w:t>
                            </w:r>
                          </w:p>
                          <w:p w14:paraId="2201A149" w14:textId="15A61907" w:rsidR="00155750" w:rsidRDefault="00155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5F497" id="_x0000_t202" coordsize="21600,21600" o:spt="202" path="m,l,21600r21600,l21600,xe">
                <v:stroke joinstyle="miter"/>
                <v:path gradientshapeok="t" o:connecttype="rect"/>
              </v:shapetype>
              <v:shape id="Text Box 2" o:spid="_x0000_s1026" type="#_x0000_t202" style="position:absolute;left:0;text-align:left;margin-left:428.8pt;margin-top:34.5pt;width:480pt;height:35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jRFAIAACA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">
                <v:textbo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7C7C3E">
                        <w:rPr>
                          <w:rFonts w:ascii="Times New Roman" w:eastAsia="DengXian" w:hAnsi="Times New Roman" w:cs="Times New Roman"/>
                          <w:szCs w:val="20"/>
                          <w:highlight w:val="yellow"/>
                          <w:lang w:val="en-GB" w:eastAsia="en-GB"/>
                        </w:rPr>
                        <w:t>Specify</w:t>
                      </w:r>
                      <w:r w:rsidRPr="007C7C3E">
                        <w:rPr>
                          <w:rFonts w:ascii="Times New Roman" w:eastAsia="DengXian" w:hAnsi="Times New Roman" w:cs="Times New Roman"/>
                          <w:szCs w:val="20"/>
                          <w:lang w:val="en-GB" w:eastAsia="en-GB"/>
                        </w:rPr>
                        <w:t xml:space="preserve"> UE requirements, including at least switching gap (if needed), and </w:t>
                      </w:r>
                      <w:r w:rsidRPr="007C7C3E">
                        <w:rPr>
                          <w:rFonts w:ascii="Times New Roman" w:eastAsia="DengXian" w:hAnsi="Times New Roman" w:cs="Times New Roman"/>
                          <w:szCs w:val="20"/>
                          <w:highlight w:val="yellow"/>
                          <w:lang w:val="en-GB" w:eastAsia="en-GB"/>
                        </w:rPr>
                        <w:t>corresponding physical layer procedures to allow switching between {case 1, case 2}</w:t>
                      </w:r>
                      <w:r w:rsidRPr="007C7C3E">
                        <w:rPr>
                          <w:rFonts w:ascii="Times New Roman" w:eastAsia="DengXian" w:hAnsi="Times New Roman" w:cs="Times New Roman"/>
                          <w:szCs w:val="20"/>
                          <w:lang w:val="en-GB" w:eastAsia="en-GB"/>
                        </w:rPr>
                        <w:t xml:space="preserve"> [RAN4,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570D05D6"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highlight w:val="yellow"/>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1: Tx/Rx on FDD carrier 1 and no Rx on SDL carrier 2</w:t>
                      </w:r>
                    </w:p>
                    <w:p w14:paraId="29A5D98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DB05F4">
                        <w:rPr>
                          <w:rFonts w:ascii="Times New Roman" w:eastAsia="DengXian" w:hAnsi="Times New Roman" w:cs="Times New Roman"/>
                          <w:szCs w:val="20"/>
                          <w:lang w:val="en-GB" w:eastAsia="en-GB"/>
                        </w:rPr>
                        <w:t>Define the corresponding UE capabilities [RAN4, RAN2, RAN1]</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Note 2: Strive to minimize the RAN1 impact</w:t>
                      </w:r>
                    </w:p>
                    <w:p w14:paraId="2201A149" w14:textId="15A61907" w:rsidR="00155750" w:rsidRDefault="00155750"/>
                  </w:txbxContent>
                </v:textbox>
                <w10:wrap type="topAndBottom" anchorx="margin"/>
              </v:shape>
            </w:pict>
          </mc:Fallback>
        </mc:AlternateContent>
      </w:r>
      <w:r w:rsidR="003413BA">
        <w:t>The</w:t>
      </w:r>
      <w:r w:rsidR="00C005B9">
        <w:t xml:space="preserve"> WID for</w:t>
      </w:r>
      <w:r>
        <w:t xml:space="preserve"> low band carrier aggregation via switching</w:t>
      </w:r>
      <w:r w:rsidR="00C005B9">
        <w:t xml:space="preserve"> </w:t>
      </w:r>
      <w:r w:rsidR="00FE6307">
        <w:fldChar w:fldCharType="begin"/>
      </w:r>
      <w:r w:rsidR="00FE6307">
        <w:instrText xml:space="preserve"> REF _Ref181975767 \r \h </w:instrText>
      </w:r>
      <w:r w:rsidR="00FE6307">
        <w:fldChar w:fldCharType="separate"/>
      </w:r>
      <w:r w:rsidR="0033774F">
        <w:t>[1]</w:t>
      </w:r>
      <w:r w:rsidR="00FE6307">
        <w:fldChar w:fldCharType="end"/>
      </w:r>
      <w:r w:rsidR="00FE6307">
        <w:t xml:space="preserve"> </w:t>
      </w:r>
      <w:r w:rsidR="00F472B6">
        <w:t xml:space="preserve">contains </w:t>
      </w:r>
      <w:r>
        <w:t>the following objectives, where the highlighted parts are relevant to RAN1:</w:t>
      </w:r>
    </w:p>
    <w:p w14:paraId="785EA329" w14:textId="77777777" w:rsidR="007C7C3E" w:rsidRDefault="007C7C3E" w:rsidP="00F472B6">
      <w:pPr>
        <w:pStyle w:val="BodyText"/>
      </w:pPr>
    </w:p>
    <w:p w14:paraId="3366B992" w14:textId="2DC63E92" w:rsidR="00F472B6" w:rsidRDefault="007C7C3E" w:rsidP="00F472B6">
      <w:pPr>
        <w:pStyle w:val="BodyText"/>
      </w:pPr>
      <w:r>
        <w:t>In this contribution we discuss a simple solution for definition of the semi-static switching pattern</w:t>
      </w:r>
      <w:r w:rsidR="003413BA">
        <w:t>.</w:t>
      </w:r>
    </w:p>
    <w:p w14:paraId="5063F11A" w14:textId="359F8AAA" w:rsidR="00A802BA" w:rsidRDefault="00A802BA" w:rsidP="00A802BA">
      <w:pPr>
        <w:pStyle w:val="Heading1"/>
      </w:pPr>
      <w:r>
        <w:lastRenderedPageBreak/>
        <w:t>2</w:t>
      </w:r>
      <w:r>
        <w:tab/>
        <w:t>Background</w:t>
      </w:r>
    </w:p>
    <w:p w14:paraId="0E0426F6" w14:textId="1EE5215C" w:rsidR="00A802BA" w:rsidRDefault="00A802BA" w:rsidP="00A802BA">
      <w:pPr>
        <w:jc w:val="both"/>
        <w:rPr>
          <w:rFonts w:eastAsia="DengXian"/>
        </w:rPr>
      </w:pPr>
      <w:r>
        <w:rPr>
          <w:rFonts w:eastAsia="DengXian"/>
        </w:rPr>
        <w:t>Some o</w:t>
      </w:r>
      <w:r w:rsidRPr="00EB1F5F">
        <w:rPr>
          <w:rFonts w:eastAsia="DengXian"/>
        </w:rPr>
        <w:t xml:space="preserve">perators </w:t>
      </w:r>
      <w:r>
        <w:rPr>
          <w:rFonts w:eastAsia="DengXian"/>
        </w:rPr>
        <w:t xml:space="preserve">have significant holdings of </w:t>
      </w:r>
      <w:r w:rsidRPr="00EB1F5F">
        <w:rPr>
          <w:rFonts w:eastAsia="DengXian"/>
        </w:rPr>
        <w:t xml:space="preserve">mid-band spectrum but </w:t>
      </w:r>
      <w:r>
        <w:rPr>
          <w:rFonts w:eastAsia="DengXian"/>
        </w:rPr>
        <w:t xml:space="preserve">only </w:t>
      </w:r>
      <w:r w:rsidRPr="00EB1F5F">
        <w:rPr>
          <w:rFonts w:eastAsia="DengXian"/>
        </w:rPr>
        <w:t>limited low-band spectrum</w:t>
      </w:r>
      <w:r>
        <w:rPr>
          <w:rFonts w:eastAsia="DengXian"/>
        </w:rPr>
        <w:t xml:space="preserve">. </w:t>
      </w:r>
      <w:proofErr w:type="gramStart"/>
      <w:r>
        <w:rPr>
          <w:rFonts w:eastAsia="DengXian"/>
        </w:rPr>
        <w:t>Low-band</w:t>
      </w:r>
      <w:proofErr w:type="gramEnd"/>
      <w:r>
        <w:rPr>
          <w:rFonts w:eastAsia="DengXian"/>
        </w:rPr>
        <w:t xml:space="preserve"> </w:t>
      </w:r>
      <w:proofErr w:type="spellStart"/>
      <w:r>
        <w:rPr>
          <w:rFonts w:eastAsia="DengXian"/>
        </w:rPr>
        <w:t>scpectrum</w:t>
      </w:r>
      <w:proofErr w:type="spellEnd"/>
      <w:r>
        <w:rPr>
          <w:rFonts w:eastAsia="DengXian"/>
        </w:rPr>
        <w:t xml:space="preserve"> is crucial for coverage in both urban and rural areas. Due to users spending significant portion of their day in </w:t>
      </w:r>
      <w:r w:rsidR="00D13E14">
        <w:rPr>
          <w:rFonts w:eastAsia="DengXian"/>
        </w:rPr>
        <w:t xml:space="preserve">the </w:t>
      </w:r>
      <w:r>
        <w:rPr>
          <w:rFonts w:eastAsia="DengXian"/>
        </w:rPr>
        <w:t xml:space="preserve">coverage area of urban and rural low bands, such bands carry significant traffic volumes </w:t>
      </w:r>
      <w:r>
        <w:rPr>
          <w:rFonts w:eastAsia="DengXian"/>
        </w:rPr>
        <w:fldChar w:fldCharType="begin"/>
      </w:r>
      <w:r>
        <w:rPr>
          <w:rFonts w:eastAsia="DengXian"/>
        </w:rPr>
        <w:instrText xml:space="preserve"> REF _Ref193739184 \r \h </w:instrText>
      </w:r>
      <w:r>
        <w:rPr>
          <w:rFonts w:eastAsia="DengXian"/>
        </w:rPr>
      </w:r>
      <w:r>
        <w:rPr>
          <w:rFonts w:eastAsia="DengXian"/>
        </w:rPr>
        <w:fldChar w:fldCharType="separate"/>
      </w:r>
      <w:r>
        <w:rPr>
          <w:rFonts w:eastAsia="DengXian"/>
        </w:rPr>
        <w:t>[2]</w:t>
      </w:r>
      <w:r>
        <w:rPr>
          <w:rFonts w:eastAsia="DengXian"/>
        </w:rPr>
        <w:fldChar w:fldCharType="end"/>
      </w:r>
      <w:r w:rsidRPr="00EB1F5F">
        <w:rPr>
          <w:rFonts w:eastAsia="DengXian"/>
        </w:rPr>
        <w:t>.</w:t>
      </w:r>
      <w:r>
        <w:rPr>
          <w:rFonts w:eastAsia="DengXian"/>
        </w:rPr>
        <w:t xml:space="preserve"> Often users experience low data rates due to congestion. One way to address this is through aggregation of low band carriers. However, for some band combinations</w:t>
      </w:r>
      <w:r w:rsidR="00D13E14">
        <w:rPr>
          <w:rFonts w:eastAsia="DengXian"/>
        </w:rPr>
        <w:t>,</w:t>
      </w:r>
      <w:r>
        <w:rPr>
          <w:rFonts w:eastAsia="DengXian"/>
        </w:rPr>
        <w:t xml:space="preserve"> CA is challenging at the UE, e.g., for aggregation of either n12 or n5 (FDD bands) + n29 (an SDL band, i.e., DL only). The </w:t>
      </w:r>
      <w:proofErr w:type="spellStart"/>
      <w:r>
        <w:rPr>
          <w:rFonts w:eastAsia="DengXian"/>
        </w:rPr>
        <w:t>callenges</w:t>
      </w:r>
      <w:proofErr w:type="spellEnd"/>
      <w:r>
        <w:rPr>
          <w:rFonts w:eastAsia="DengXian"/>
        </w:rPr>
        <w:t xml:space="preserve"> for these bands are illustrated in </w:t>
      </w:r>
      <w:r>
        <w:rPr>
          <w:rFonts w:eastAsia="DengXian"/>
        </w:rPr>
        <w:fldChar w:fldCharType="begin"/>
      </w:r>
      <w:r>
        <w:rPr>
          <w:rFonts w:eastAsia="DengXian"/>
        </w:rPr>
        <w:instrText xml:space="preserve"> REF _Ref193739777 \h </w:instrText>
      </w:r>
      <w:r>
        <w:rPr>
          <w:rFonts w:eastAsia="DengXian"/>
        </w:rPr>
      </w:r>
      <w:r>
        <w:rPr>
          <w:rFonts w:eastAsia="DengXian"/>
        </w:rPr>
        <w:fldChar w:fldCharType="separate"/>
      </w:r>
      <w:r>
        <w:t xml:space="preserve">Figure </w:t>
      </w:r>
      <w:r>
        <w:rPr>
          <w:noProof/>
        </w:rPr>
        <w:t>1</w:t>
      </w:r>
      <w:r>
        <w:rPr>
          <w:rFonts w:eastAsia="DengXian"/>
        </w:rPr>
        <w:fldChar w:fldCharType="end"/>
      </w:r>
      <w:r>
        <w:rPr>
          <w:rFonts w:eastAsia="DengXian"/>
        </w:rPr>
        <w:t xml:space="preserve">, and thus CA for these band combinations </w:t>
      </w:r>
      <w:r w:rsidR="00856D7A">
        <w:rPr>
          <w:rFonts w:eastAsia="DengXian"/>
        </w:rPr>
        <w:t>is</w:t>
      </w:r>
      <w:r>
        <w:rPr>
          <w:rFonts w:eastAsia="DengXian"/>
        </w:rPr>
        <w:t xml:space="preserve"> not </w:t>
      </w:r>
      <w:r w:rsidR="00D13E14">
        <w:rPr>
          <w:rFonts w:eastAsia="DengXian"/>
        </w:rPr>
        <w:t>defined in 3GPP</w:t>
      </w:r>
      <w:r>
        <w:rPr>
          <w:rFonts w:eastAsia="DengXian"/>
        </w:rPr>
        <w:t xml:space="preserve">.  </w:t>
      </w:r>
    </w:p>
    <w:p w14:paraId="50577672" w14:textId="6B8B15C5" w:rsidR="00A802BA" w:rsidRDefault="00A802BA" w:rsidP="004F1677">
      <w:pPr>
        <w:pStyle w:val="ListParagraph"/>
        <w:numPr>
          <w:ilvl w:val="0"/>
          <w:numId w:val="14"/>
        </w:numPr>
        <w:spacing w:line="240" w:lineRule="auto"/>
        <w:contextualSpacing/>
        <w:jc w:val="both"/>
        <w:rPr>
          <w:rFonts w:ascii="Arial" w:eastAsia="DengXian" w:hAnsi="Arial" w:cs="Arial"/>
          <w:sz w:val="20"/>
          <w:szCs w:val="20"/>
        </w:rPr>
      </w:pPr>
      <w:r w:rsidRPr="0009061A">
        <w:rPr>
          <w:rFonts w:ascii="Arial" w:eastAsia="DengXian" w:hAnsi="Arial" w:cs="Arial"/>
          <w:b/>
          <w:bCs/>
          <w:sz w:val="20"/>
          <w:szCs w:val="20"/>
        </w:rPr>
        <w:t>Small Duplex Gap</w:t>
      </w:r>
      <w:r>
        <w:rPr>
          <w:rFonts w:ascii="Arial" w:eastAsia="DengXian" w:hAnsi="Arial" w:cs="Arial"/>
          <w:sz w:val="20"/>
          <w:szCs w:val="20"/>
        </w:rPr>
        <w:t>: For n12 + n29 the duplex gap (Tx to Rx spacing) between the bands is small (1 MHz),</w:t>
      </w:r>
      <w:r w:rsidR="00856D7A">
        <w:rPr>
          <w:rFonts w:ascii="Arial" w:eastAsia="DengXian" w:hAnsi="Arial" w:cs="Arial"/>
          <w:sz w:val="20"/>
          <w:szCs w:val="20"/>
        </w:rPr>
        <w:t xml:space="preserve"> resulting in technical challenges to </w:t>
      </w:r>
      <w:r>
        <w:rPr>
          <w:rFonts w:ascii="Arial" w:eastAsia="DengXian" w:hAnsi="Arial" w:cs="Arial"/>
          <w:sz w:val="20"/>
          <w:szCs w:val="20"/>
        </w:rPr>
        <w:t xml:space="preserve">design a </w:t>
      </w:r>
      <w:r w:rsidR="00856D7A">
        <w:rPr>
          <w:rFonts w:ascii="Arial" w:eastAsia="DengXian" w:hAnsi="Arial" w:cs="Arial"/>
          <w:sz w:val="20"/>
          <w:szCs w:val="20"/>
        </w:rPr>
        <w:t>diplexer</w:t>
      </w:r>
      <w:r>
        <w:rPr>
          <w:rFonts w:ascii="Arial" w:eastAsia="DengXian" w:hAnsi="Arial" w:cs="Arial"/>
          <w:sz w:val="20"/>
          <w:szCs w:val="20"/>
        </w:rPr>
        <w:t xml:space="preserve"> </w:t>
      </w:r>
      <w:r w:rsidR="00856D7A">
        <w:rPr>
          <w:rFonts w:ascii="Arial" w:eastAsia="DengXian" w:hAnsi="Arial" w:cs="Arial"/>
          <w:sz w:val="20"/>
          <w:szCs w:val="20"/>
        </w:rPr>
        <w:t>with</w:t>
      </w:r>
      <w:r>
        <w:rPr>
          <w:rFonts w:ascii="Arial" w:eastAsia="DengXian" w:hAnsi="Arial" w:cs="Arial"/>
          <w:sz w:val="20"/>
          <w:szCs w:val="20"/>
        </w:rPr>
        <w:t xml:space="preserve"> </w:t>
      </w:r>
      <w:proofErr w:type="spellStart"/>
      <w:r>
        <w:rPr>
          <w:rFonts w:ascii="Arial" w:eastAsia="DengXian" w:hAnsi="Arial" w:cs="Arial"/>
          <w:sz w:val="20"/>
          <w:szCs w:val="20"/>
        </w:rPr>
        <w:t>adequte</w:t>
      </w:r>
      <w:proofErr w:type="spellEnd"/>
      <w:r>
        <w:rPr>
          <w:rFonts w:ascii="Arial" w:eastAsia="DengXian" w:hAnsi="Arial" w:cs="Arial"/>
          <w:sz w:val="20"/>
          <w:szCs w:val="20"/>
        </w:rPr>
        <w:t xml:space="preserve"> </w:t>
      </w:r>
      <w:proofErr w:type="spellStart"/>
      <w:r>
        <w:rPr>
          <w:rFonts w:ascii="Arial" w:eastAsia="DengXian" w:hAnsi="Arial" w:cs="Arial"/>
          <w:sz w:val="20"/>
          <w:szCs w:val="20"/>
        </w:rPr>
        <w:t>supression</w:t>
      </w:r>
      <w:proofErr w:type="spellEnd"/>
      <w:r>
        <w:rPr>
          <w:rFonts w:ascii="Arial" w:eastAsia="DengXian" w:hAnsi="Arial" w:cs="Arial"/>
          <w:sz w:val="20"/>
          <w:szCs w:val="20"/>
        </w:rPr>
        <w:t xml:space="preserve"> of interference </w:t>
      </w:r>
      <w:r w:rsidR="00856D7A">
        <w:rPr>
          <w:rFonts w:ascii="Arial" w:eastAsia="DengXian" w:hAnsi="Arial" w:cs="Arial"/>
          <w:sz w:val="20"/>
          <w:szCs w:val="20"/>
        </w:rPr>
        <w:t>from the UL of the FDD band to the close-by SDL band</w:t>
      </w:r>
      <w:r>
        <w:rPr>
          <w:rFonts w:ascii="Arial" w:eastAsia="DengXian" w:hAnsi="Arial" w:cs="Arial"/>
          <w:sz w:val="20"/>
          <w:szCs w:val="20"/>
        </w:rPr>
        <w:t>.</w:t>
      </w:r>
    </w:p>
    <w:p w14:paraId="4667CD67" w14:textId="3F8EDDB7" w:rsidR="00A802BA" w:rsidRDefault="00A802BA" w:rsidP="004F1677">
      <w:pPr>
        <w:pStyle w:val="ListParagraph"/>
        <w:numPr>
          <w:ilvl w:val="0"/>
          <w:numId w:val="14"/>
        </w:numPr>
        <w:spacing w:line="240" w:lineRule="auto"/>
        <w:contextualSpacing/>
        <w:jc w:val="both"/>
        <w:rPr>
          <w:rFonts w:ascii="Arial" w:eastAsia="DengXian" w:hAnsi="Arial" w:cs="Arial"/>
          <w:sz w:val="20"/>
          <w:szCs w:val="20"/>
        </w:rPr>
      </w:pPr>
      <w:r>
        <w:rPr>
          <w:rFonts w:ascii="Arial" w:eastAsia="DengXian" w:hAnsi="Arial" w:cs="Arial"/>
          <w:b/>
          <w:bCs/>
          <w:sz w:val="20"/>
          <w:szCs w:val="20"/>
        </w:rPr>
        <w:t xml:space="preserve">Large </w:t>
      </w:r>
      <w:r w:rsidRPr="0009061A">
        <w:rPr>
          <w:rFonts w:ascii="Arial" w:eastAsia="DengXian" w:hAnsi="Arial" w:cs="Arial"/>
          <w:b/>
          <w:bCs/>
          <w:sz w:val="20"/>
          <w:szCs w:val="20"/>
        </w:rPr>
        <w:t>Antenna Bandwidth</w:t>
      </w:r>
      <w:r w:rsidRPr="0009061A">
        <w:rPr>
          <w:rFonts w:ascii="Arial" w:eastAsia="DengXian" w:hAnsi="Arial" w:cs="Arial"/>
          <w:sz w:val="20"/>
          <w:szCs w:val="20"/>
        </w:rPr>
        <w:t xml:space="preserve">: For n5 + n29, the required antenna bandwidth to support this combination is at least 177 MHz, </w:t>
      </w:r>
      <w:r w:rsidR="00D13E14">
        <w:rPr>
          <w:rFonts w:ascii="Arial" w:eastAsia="DengXian" w:hAnsi="Arial" w:cs="Arial"/>
          <w:sz w:val="20"/>
          <w:szCs w:val="20"/>
        </w:rPr>
        <w:t>corresponding</w:t>
      </w:r>
      <w:r w:rsidRPr="0009061A">
        <w:rPr>
          <w:rFonts w:ascii="Arial" w:eastAsia="DengXian" w:hAnsi="Arial" w:cs="Arial"/>
          <w:sz w:val="20"/>
          <w:szCs w:val="20"/>
        </w:rPr>
        <w:t xml:space="preserve"> to a fractional bandwidt</w:t>
      </w:r>
      <w:r>
        <w:rPr>
          <w:rFonts w:ascii="Arial" w:eastAsia="DengXian" w:hAnsi="Arial" w:cs="Arial"/>
          <w:sz w:val="20"/>
          <w:szCs w:val="20"/>
        </w:rPr>
        <w:t xml:space="preserve">h of ~22%. Designing </w:t>
      </w:r>
      <w:r w:rsidR="003E2746">
        <w:rPr>
          <w:rFonts w:ascii="Arial" w:eastAsia="DengXian" w:hAnsi="Arial" w:cs="Arial"/>
          <w:sz w:val="20"/>
          <w:szCs w:val="20"/>
        </w:rPr>
        <w:t xml:space="preserve">efficient </w:t>
      </w:r>
      <w:r>
        <w:rPr>
          <w:rFonts w:ascii="Arial" w:eastAsia="DengXian" w:hAnsi="Arial" w:cs="Arial"/>
          <w:sz w:val="20"/>
          <w:szCs w:val="20"/>
        </w:rPr>
        <w:t>anten</w:t>
      </w:r>
      <w:r w:rsidR="00856D7A">
        <w:rPr>
          <w:rFonts w:ascii="Arial" w:eastAsia="DengXian" w:hAnsi="Arial" w:cs="Arial"/>
          <w:sz w:val="20"/>
          <w:szCs w:val="20"/>
        </w:rPr>
        <w:t>nas</w:t>
      </w:r>
      <w:r>
        <w:rPr>
          <w:rFonts w:ascii="Arial" w:eastAsia="DengXian" w:hAnsi="Arial" w:cs="Arial"/>
          <w:sz w:val="20"/>
          <w:szCs w:val="20"/>
        </w:rPr>
        <w:t xml:space="preserve"> to support such a large fractional bandwidth is technically challenging.</w:t>
      </w:r>
    </w:p>
    <w:p w14:paraId="173FC807" w14:textId="77777777" w:rsidR="00A802BA" w:rsidRDefault="00A802BA" w:rsidP="00A802BA">
      <w:pPr>
        <w:rPr>
          <w:rFonts w:eastAsia="DengXian"/>
        </w:rPr>
      </w:pPr>
    </w:p>
    <w:p w14:paraId="04E985B2" w14:textId="77777777" w:rsidR="00A802BA" w:rsidRDefault="00A802BA" w:rsidP="00A802BA">
      <w:pPr>
        <w:keepNext/>
      </w:pPr>
      <w:r>
        <w:rPr>
          <w:rFonts w:eastAsia="DengXian"/>
          <w:noProof/>
        </w:rPr>
        <w:drawing>
          <wp:inline distT="0" distB="0" distL="0" distR="0" wp14:anchorId="035A144D" wp14:editId="31C96F9E">
            <wp:extent cx="6120765" cy="1273810"/>
            <wp:effectExtent l="0" t="0" r="0" b="2540"/>
            <wp:docPr id="439084095"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92291" name="Picture 1" descr="A screenshot of a phone&#10;&#10;Description automatically generated"/>
                    <pic:cNvPicPr/>
                  </pic:nvPicPr>
                  <pic:blipFill>
                    <a:blip r:embed="rId13"/>
                    <a:stretch>
                      <a:fillRect/>
                    </a:stretch>
                  </pic:blipFill>
                  <pic:spPr>
                    <a:xfrm>
                      <a:off x="0" y="0"/>
                      <a:ext cx="6120765" cy="1273810"/>
                    </a:xfrm>
                    <a:prstGeom prst="rect">
                      <a:avLst/>
                    </a:prstGeom>
                  </pic:spPr>
                </pic:pic>
              </a:graphicData>
            </a:graphic>
          </wp:inline>
        </w:drawing>
      </w:r>
    </w:p>
    <w:p w14:paraId="0DBAA647" w14:textId="78220987" w:rsidR="00A802BA" w:rsidRPr="0009061A" w:rsidRDefault="00A802BA" w:rsidP="00A802BA">
      <w:pPr>
        <w:pStyle w:val="Caption"/>
      </w:pPr>
      <w:bookmarkStart w:id="1" w:name="_Ref193739777"/>
      <w:r>
        <w:t xml:space="preserve">Figure </w:t>
      </w:r>
      <w:r>
        <w:fldChar w:fldCharType="begin"/>
      </w:r>
      <w:r>
        <w:instrText xml:space="preserve"> SEQ Figure \* ARABIC </w:instrText>
      </w:r>
      <w:r>
        <w:fldChar w:fldCharType="separate"/>
      </w:r>
      <w:r w:rsidR="00866982">
        <w:rPr>
          <w:noProof/>
        </w:rPr>
        <w:t>1</w:t>
      </w:r>
      <w:r>
        <w:fldChar w:fldCharType="end"/>
      </w:r>
      <w:bookmarkEnd w:id="1"/>
      <w:r>
        <w:t xml:space="preserve">: Challenges at the UE for supporting CA of some low band </w:t>
      </w:r>
      <w:proofErr w:type="spellStart"/>
      <w:r>
        <w:t>band</w:t>
      </w:r>
      <w:proofErr w:type="spellEnd"/>
      <w:r>
        <w:t xml:space="preserve"> combinations. In this diagram, n12 and n5 are FDD bands (simultaneous DL and UL), and n29 is an SDL band (i.e., DL only).</w:t>
      </w:r>
    </w:p>
    <w:p w14:paraId="4C89B680" w14:textId="5FB7F50C" w:rsidR="00A802BA" w:rsidRDefault="00A802BA" w:rsidP="00A802BA">
      <w:pPr>
        <w:jc w:val="both"/>
        <w:rPr>
          <w:rFonts w:eastAsia="DengXian"/>
        </w:rPr>
      </w:pPr>
      <w:r>
        <w:rPr>
          <w:rFonts w:eastAsia="DengXian"/>
        </w:rPr>
        <w:t xml:space="preserve">An alternative approach to make use of the combination of the low bands and avoid the above challenges is to support switching between the FDD band (n12 or n5) and the SDL band (n29), where only one band is used at a time </w:t>
      </w:r>
      <w:r w:rsidRPr="00F8740B">
        <w:rPr>
          <w:rFonts w:eastAsia="DengXian"/>
          <w:u w:val="single"/>
        </w:rPr>
        <w:t xml:space="preserve">from </w:t>
      </w:r>
      <w:proofErr w:type="gramStart"/>
      <w:r w:rsidRPr="00F8740B">
        <w:rPr>
          <w:rFonts w:eastAsia="DengXian"/>
          <w:u w:val="single"/>
        </w:rPr>
        <w:t>a</w:t>
      </w:r>
      <w:r w:rsidR="00B9444E">
        <w:rPr>
          <w:rFonts w:eastAsia="DengXian"/>
          <w:u w:val="single"/>
        </w:rPr>
        <w:t>n</w:t>
      </w:r>
      <w:proofErr w:type="gramEnd"/>
      <w:r w:rsidRPr="00F8740B">
        <w:rPr>
          <w:rFonts w:eastAsia="DengXian"/>
          <w:u w:val="single"/>
        </w:rPr>
        <w:t xml:space="preserve"> UE perspective</w:t>
      </w:r>
      <w:r>
        <w:rPr>
          <w:rFonts w:eastAsia="DengXian"/>
        </w:rPr>
        <w:t>. When the FDD band is in use, simultaneous DL reception and UL transmission from the UE is possible (Case 1 in the WID)</w:t>
      </w:r>
      <w:r w:rsidR="00D13E14">
        <w:rPr>
          <w:rFonts w:eastAsia="DengXian"/>
        </w:rPr>
        <w:t>. W</w:t>
      </w:r>
      <w:r>
        <w:rPr>
          <w:rFonts w:eastAsia="DengXian"/>
        </w:rPr>
        <w:t xml:space="preserve">hen the SDL band is in use, only DL reception at the UE is possible (Case 2 in the WID). We emphasize that the WID does not restrict the two bands from being used </w:t>
      </w:r>
      <w:proofErr w:type="spellStart"/>
      <w:r>
        <w:rPr>
          <w:rFonts w:eastAsia="DengXian"/>
        </w:rPr>
        <w:t>simultanesously</w:t>
      </w:r>
      <w:proofErr w:type="spellEnd"/>
      <w:r>
        <w:rPr>
          <w:rFonts w:eastAsia="DengXian"/>
        </w:rPr>
        <w:t xml:space="preserve"> </w:t>
      </w:r>
      <w:r w:rsidRPr="00F8740B">
        <w:rPr>
          <w:rFonts w:eastAsia="DengXian"/>
          <w:u w:val="single"/>
        </w:rPr>
        <w:t>from a gNB perspective</w:t>
      </w:r>
      <w:r>
        <w:rPr>
          <w:rFonts w:eastAsia="DengXian"/>
        </w:rPr>
        <w:t xml:space="preserve">. </w:t>
      </w:r>
      <w:r w:rsidR="003E2746">
        <w:rPr>
          <w:rFonts w:eastAsia="DengXian"/>
        </w:rPr>
        <w:t>Simultaneous use of the two bands at the gNB enables sharing of load between the bands</w:t>
      </w:r>
      <w:r>
        <w:rPr>
          <w:rFonts w:eastAsia="DengXian"/>
        </w:rPr>
        <w:t xml:space="preserve">, thus </w:t>
      </w:r>
      <w:r w:rsidR="00D13E14">
        <w:rPr>
          <w:rFonts w:eastAsia="DengXian"/>
        </w:rPr>
        <w:t xml:space="preserve">relieving congestion and </w:t>
      </w:r>
      <w:r>
        <w:rPr>
          <w:rFonts w:eastAsia="DengXian"/>
        </w:rPr>
        <w:t xml:space="preserve">resulting in better user experience at least </w:t>
      </w:r>
      <w:r w:rsidR="00D13E14">
        <w:rPr>
          <w:rFonts w:eastAsia="DengXian"/>
        </w:rPr>
        <w:t>for</w:t>
      </w:r>
      <w:r>
        <w:rPr>
          <w:rFonts w:eastAsia="DengXian"/>
        </w:rPr>
        <w:t xml:space="preserve"> the DL. It is important to recognize, however, that </w:t>
      </w:r>
      <w:r w:rsidR="003E2746">
        <w:rPr>
          <w:rFonts w:eastAsia="DengXian"/>
        </w:rPr>
        <w:t xml:space="preserve">switching between FDD and SDL bands at the UE results in a loss of UL opportunities </w:t>
      </w:r>
      <w:r>
        <w:rPr>
          <w:rFonts w:eastAsia="DengXian"/>
        </w:rPr>
        <w:t xml:space="preserve">for a UE since </w:t>
      </w:r>
      <w:r w:rsidR="003E2746">
        <w:rPr>
          <w:rFonts w:eastAsia="DengXian"/>
        </w:rPr>
        <w:t xml:space="preserve">only the FDD band allows </w:t>
      </w:r>
      <w:r>
        <w:rPr>
          <w:rFonts w:eastAsia="DengXian"/>
        </w:rPr>
        <w:t>U</w:t>
      </w:r>
      <w:r w:rsidR="003E2746">
        <w:rPr>
          <w:rFonts w:eastAsia="DengXian"/>
        </w:rPr>
        <w:t>L. This could be an issue for some traffic types depending on the UL-DL ratio.</w:t>
      </w:r>
    </w:p>
    <w:p w14:paraId="5A2B3BFE" w14:textId="77777777" w:rsidR="00A802BA" w:rsidRDefault="00A802BA" w:rsidP="00A802BA">
      <w:pPr>
        <w:jc w:val="both"/>
        <w:rPr>
          <w:rFonts w:eastAsia="DengXian"/>
        </w:rPr>
      </w:pPr>
      <w:r>
        <w:rPr>
          <w:rFonts w:eastAsia="DengXian"/>
        </w:rPr>
        <w:t>The WID tasks RAN1 to specify the following:</w:t>
      </w:r>
    </w:p>
    <w:p w14:paraId="47A963E7" w14:textId="77777777" w:rsidR="00A802BA" w:rsidRDefault="00A802BA" w:rsidP="00A802BA">
      <w:pPr>
        <w:ind w:left="567"/>
        <w:jc w:val="both"/>
        <w:rPr>
          <w:rFonts w:eastAsia="DengXian"/>
        </w:rPr>
      </w:pPr>
      <w:r w:rsidRPr="00A802BA">
        <w:rPr>
          <w:rFonts w:ascii="Times New Roman" w:eastAsia="DengXian" w:hAnsi="Times New Roman" w:cs="Times New Roman"/>
          <w:szCs w:val="20"/>
          <w:lang w:val="en-GB" w:eastAsia="en-GB"/>
        </w:rPr>
        <w:t>RAN1 to specify only a semi-static switching pattern based on RRC configuration, liaising with RAN2 and RAN4 as necessary</w:t>
      </w:r>
    </w:p>
    <w:p w14:paraId="6359648E" w14:textId="177B9A29" w:rsidR="00817DDB" w:rsidRDefault="00A802BA" w:rsidP="00817DDB">
      <w:pPr>
        <w:pStyle w:val="Heading1"/>
        <w:rPr>
          <w:lang w:val="en-US"/>
        </w:rPr>
      </w:pPr>
      <w:r>
        <w:rPr>
          <w:lang w:val="en-US"/>
        </w:rPr>
        <w:t>3</w:t>
      </w:r>
      <w:r w:rsidR="00226FEA" w:rsidRPr="00B27750">
        <w:rPr>
          <w:lang w:val="en-US"/>
        </w:rPr>
        <w:tab/>
      </w:r>
      <w:r w:rsidR="00866982">
        <w:rPr>
          <w:lang w:val="en-US"/>
        </w:rPr>
        <w:t xml:space="preserve">Potential Restrictions on </w:t>
      </w:r>
      <w:r w:rsidR="007C7C3E">
        <w:rPr>
          <w:lang w:val="en-US"/>
        </w:rPr>
        <w:t>Semi-Static Switching Pattern</w:t>
      </w:r>
    </w:p>
    <w:p w14:paraId="710BDB61" w14:textId="43CA7022" w:rsidR="00B731C4" w:rsidRDefault="00B731C4" w:rsidP="00B731C4">
      <w:pPr>
        <w:rPr>
          <w:lang w:eastAsia="ja-JP"/>
        </w:rPr>
      </w:pPr>
      <w:r>
        <w:rPr>
          <w:lang w:eastAsia="ja-JP"/>
        </w:rPr>
        <w:t xml:space="preserve">In </w:t>
      </w:r>
      <w:r w:rsidR="00866982">
        <w:rPr>
          <w:lang w:eastAsia="ja-JP"/>
        </w:rPr>
        <w:t>RAN1#120bis</w:t>
      </w:r>
      <w:r>
        <w:rPr>
          <w:lang w:eastAsia="ja-JP"/>
        </w:rPr>
        <w:t>, the following agreements were made regarding the semi-static switching pattern:</w:t>
      </w:r>
    </w:p>
    <w:p w14:paraId="6A14E64A" w14:textId="77777777" w:rsidR="00DE5E31" w:rsidRPr="00DE5E31" w:rsidRDefault="00DE5E31" w:rsidP="00DE5E31">
      <w:pPr>
        <w:spacing w:after="0" w:line="240" w:lineRule="auto"/>
        <w:ind w:left="360"/>
        <w:rPr>
          <w:rFonts w:ascii="Times" w:eastAsia="DengXian" w:hAnsi="Times" w:cs="Times New Roman"/>
          <w:szCs w:val="24"/>
          <w:highlight w:val="green"/>
          <w:lang w:val="en-GB" w:eastAsia="zh-CN"/>
        </w:rPr>
      </w:pPr>
      <w:r w:rsidRPr="00DE5E31">
        <w:rPr>
          <w:rFonts w:ascii="Times" w:eastAsia="DengXian" w:hAnsi="Times" w:cs="Times New Roman" w:hint="eastAsia"/>
          <w:szCs w:val="24"/>
          <w:highlight w:val="green"/>
          <w:lang w:val="en-GB" w:eastAsia="zh-CN"/>
        </w:rPr>
        <w:t>Agreement</w:t>
      </w:r>
    </w:p>
    <w:p w14:paraId="3ED3A037" w14:textId="77777777" w:rsidR="00DE5E31" w:rsidRPr="00DE5E31" w:rsidRDefault="00DE5E31" w:rsidP="00DE5E31">
      <w:pPr>
        <w:numPr>
          <w:ilvl w:val="0"/>
          <w:numId w:val="25"/>
        </w:numPr>
        <w:spacing w:after="0" w:line="240" w:lineRule="auto"/>
        <w:ind w:left="1080"/>
        <w:contextualSpacing/>
        <w:rPr>
          <w:rFonts w:ascii="Times" w:eastAsia="Batang" w:hAnsi="Times" w:cs="Times New Roman"/>
          <w:szCs w:val="24"/>
          <w:lang w:val="en-GB" w:eastAsia="x-none"/>
        </w:rPr>
      </w:pPr>
      <w:r w:rsidRPr="00DE5E31">
        <w:rPr>
          <w:rFonts w:ascii="Times" w:eastAsia="Batang" w:hAnsi="Times" w:cs="Times New Roman"/>
          <w:szCs w:val="24"/>
          <w:lang w:val="en-GB" w:eastAsia="x-none"/>
        </w:rPr>
        <w:t>For RRC configuration of semi-static switching pattern in Rel-19 low NR band carrier aggregation via switching, support bitmap design</w:t>
      </w:r>
    </w:p>
    <w:p w14:paraId="57B63712" w14:textId="77777777" w:rsidR="00DE5E31" w:rsidRPr="00DE5E31" w:rsidRDefault="00DE5E31" w:rsidP="00DE5E31">
      <w:pPr>
        <w:numPr>
          <w:ilvl w:val="1"/>
          <w:numId w:val="25"/>
        </w:numPr>
        <w:spacing w:after="0" w:line="240" w:lineRule="auto"/>
        <w:ind w:left="1800"/>
        <w:contextualSpacing/>
        <w:rPr>
          <w:rFonts w:ascii="Times" w:eastAsia="Batang" w:hAnsi="Times" w:cs="Times New Roman"/>
          <w:szCs w:val="24"/>
          <w:lang w:val="en-GB" w:eastAsia="x-none"/>
        </w:rPr>
      </w:pPr>
      <w:r w:rsidRPr="00DE5E31">
        <w:rPr>
          <w:rFonts w:ascii="Times" w:eastAsia="Batang" w:hAnsi="Times" w:cs="Times New Roman"/>
          <w:szCs w:val="24"/>
          <w:lang w:val="en-GB" w:eastAsia="x-none"/>
        </w:rPr>
        <w:lastRenderedPageBreak/>
        <w:t xml:space="preserve">NW configures a periodicity, denoted as </w:t>
      </w:r>
      <m:oMath>
        <m:r>
          <m:rPr>
            <m:sty m:val="p"/>
          </m:rPr>
          <w:rPr>
            <w:rFonts w:ascii="Cambria Math" w:eastAsia="Batang" w:hAnsi="Cambria Math" w:cs="Times New Roman"/>
            <w:szCs w:val="24"/>
            <w:lang w:val="en-GB" w:eastAsia="x-none"/>
          </w:rPr>
          <m:t>P</m:t>
        </m:r>
      </m:oMath>
      <w:r w:rsidRPr="00DE5E31">
        <w:rPr>
          <w:rFonts w:ascii="Times" w:eastAsia="Batang" w:hAnsi="Times" w:cs="Times New Roman"/>
          <w:szCs w:val="24"/>
          <w:lang w:val="en-GB" w:eastAsia="x-none"/>
        </w:rPr>
        <w:t xml:space="preserve"> slots, and a bitmap of P bits. </w:t>
      </w:r>
      <w:r w:rsidRPr="00DE5E31">
        <w:rPr>
          <w:rFonts w:ascii="Times" w:eastAsia="Batang" w:hAnsi="Times" w:cs="Times New Roman"/>
          <w:szCs w:val="20"/>
          <w:lang w:val="en-GB" w:eastAsia="x-none"/>
        </w:rPr>
        <w:t xml:space="preserve">Each bit in the bitmap indicates which carrier is configured for the corresponding slot, ‘0’ indicates FDD carrier 1, and ‘1’ </w:t>
      </w:r>
      <w:r w:rsidRPr="00DE5E31">
        <w:rPr>
          <w:rFonts w:ascii="Times" w:eastAsia="Batang" w:hAnsi="Times" w:cs="Times New Roman"/>
          <w:color w:val="000000"/>
          <w:szCs w:val="20"/>
          <w:lang w:val="en-GB" w:eastAsia="x-none"/>
        </w:rPr>
        <w:t>indicates SDL carrier 2</w:t>
      </w:r>
    </w:p>
    <w:p w14:paraId="046B8642" w14:textId="77777777" w:rsidR="00DE5E31" w:rsidRPr="00DE5E31" w:rsidRDefault="00DE5E31" w:rsidP="00DE5E31">
      <w:pPr>
        <w:numPr>
          <w:ilvl w:val="1"/>
          <w:numId w:val="25"/>
        </w:numPr>
        <w:spacing w:after="0" w:line="240" w:lineRule="auto"/>
        <w:ind w:left="1800"/>
        <w:contextualSpacing/>
        <w:rPr>
          <w:rFonts w:ascii="Times" w:eastAsia="Batang" w:hAnsi="Times" w:cs="Times New Roman"/>
          <w:color w:val="000000"/>
          <w:szCs w:val="24"/>
          <w:lang w:val="en-GB" w:eastAsia="x-none"/>
        </w:rPr>
      </w:pPr>
      <w:r w:rsidRPr="00DE5E31">
        <w:rPr>
          <w:rFonts w:ascii="Times" w:eastAsia="Batang" w:hAnsi="Times" w:cs="Times New Roman"/>
          <w:color w:val="000000"/>
          <w:szCs w:val="20"/>
          <w:lang w:val="en-GB" w:eastAsia="x-none"/>
        </w:rPr>
        <w:t>The pattern starts from the beginning of SFN 0 of PCell</w:t>
      </w:r>
    </w:p>
    <w:p w14:paraId="2C0A47DA" w14:textId="77777777" w:rsidR="00DE5E31" w:rsidRPr="00DE5E31" w:rsidRDefault="00DE5E31" w:rsidP="00DE5E31">
      <w:pPr>
        <w:numPr>
          <w:ilvl w:val="0"/>
          <w:numId w:val="25"/>
        </w:numPr>
        <w:spacing w:after="0" w:line="240" w:lineRule="auto"/>
        <w:ind w:left="1080"/>
        <w:contextualSpacing/>
        <w:rPr>
          <w:rFonts w:ascii="Times" w:eastAsia="Batang" w:hAnsi="Times" w:cs="Times New Roman"/>
          <w:color w:val="000000"/>
          <w:szCs w:val="24"/>
          <w:lang w:val="en-GB" w:eastAsia="x-none"/>
        </w:rPr>
      </w:pPr>
      <w:r w:rsidRPr="00DE5E31">
        <w:rPr>
          <w:rFonts w:ascii="Times" w:eastAsia="Batang" w:hAnsi="Times" w:cs="Times New Roman"/>
          <w:color w:val="000000"/>
          <w:szCs w:val="24"/>
          <w:lang w:val="en-GB" w:eastAsia="x-none"/>
        </w:rPr>
        <w:t xml:space="preserve">Restriction of maximum X switch(es) within Y slot(s), </w:t>
      </w:r>
    </w:p>
    <w:p w14:paraId="217340AD" w14:textId="77777777" w:rsidR="00DE5E31" w:rsidRPr="00DE5E31" w:rsidRDefault="00DE5E31" w:rsidP="00DE5E31">
      <w:pPr>
        <w:numPr>
          <w:ilvl w:val="1"/>
          <w:numId w:val="25"/>
        </w:numPr>
        <w:spacing w:after="0" w:line="240" w:lineRule="auto"/>
        <w:ind w:left="1800"/>
        <w:contextualSpacing/>
        <w:rPr>
          <w:rFonts w:ascii="Times" w:eastAsia="Batang" w:hAnsi="Times" w:cs="Times New Roman"/>
          <w:color w:val="000000"/>
          <w:szCs w:val="24"/>
          <w:lang w:val="en-GB" w:eastAsia="x-none"/>
        </w:rPr>
      </w:pPr>
      <w:r w:rsidRPr="00DE5E31">
        <w:rPr>
          <w:rFonts w:ascii="Times" w:eastAsia="Batang" w:hAnsi="Times" w:cs="Times New Roman"/>
          <w:color w:val="000000"/>
          <w:szCs w:val="24"/>
          <w:lang w:val="en-GB" w:eastAsia="x-none"/>
        </w:rPr>
        <w:t xml:space="preserve">FFS: detailed value and relation of X and Y. </w:t>
      </w:r>
    </w:p>
    <w:p w14:paraId="5D84F574" w14:textId="54611615" w:rsidR="00DE5E31" w:rsidRDefault="00DE5E31" w:rsidP="00DE5E31">
      <w:pPr>
        <w:numPr>
          <w:ilvl w:val="0"/>
          <w:numId w:val="25"/>
        </w:numPr>
        <w:spacing w:after="0" w:line="240" w:lineRule="auto"/>
        <w:ind w:left="1080"/>
        <w:contextualSpacing/>
        <w:rPr>
          <w:rFonts w:ascii="Times" w:eastAsia="Batang" w:hAnsi="Times" w:cs="Times New Roman"/>
          <w:color w:val="000000"/>
          <w:szCs w:val="24"/>
          <w:lang w:val="en-GB" w:eastAsia="x-none"/>
        </w:rPr>
      </w:pPr>
      <w:r w:rsidRPr="00DE5E31">
        <w:rPr>
          <w:rFonts w:ascii="Times" w:eastAsia="Batang" w:hAnsi="Times" w:cs="Times New Roman"/>
          <w:color w:val="000000"/>
          <w:szCs w:val="24"/>
          <w:lang w:val="en-GB" w:eastAsia="x-none"/>
        </w:rPr>
        <w:t>FFS: other restriction</w:t>
      </w:r>
    </w:p>
    <w:p w14:paraId="2B76A5C5" w14:textId="77777777" w:rsidR="00DE5E31" w:rsidRPr="00DE5E31" w:rsidRDefault="00DE5E31" w:rsidP="00DE5E31">
      <w:pPr>
        <w:spacing w:after="0" w:line="240" w:lineRule="auto"/>
        <w:ind w:left="1080"/>
        <w:contextualSpacing/>
        <w:rPr>
          <w:rFonts w:ascii="Times" w:eastAsia="Batang" w:hAnsi="Times" w:cs="Times New Roman"/>
          <w:color w:val="000000"/>
          <w:szCs w:val="24"/>
          <w:lang w:val="en-GB" w:eastAsia="x-none"/>
        </w:rPr>
      </w:pPr>
    </w:p>
    <w:p w14:paraId="5AF36EF1" w14:textId="77777777" w:rsidR="00B731C4" w:rsidRPr="00B731C4" w:rsidRDefault="00B731C4" w:rsidP="00B731C4">
      <w:pPr>
        <w:spacing w:after="0" w:line="240" w:lineRule="auto"/>
        <w:ind w:left="567"/>
        <w:rPr>
          <w:rFonts w:ascii="Times New Roman" w:eastAsia="Times New Roman" w:hAnsi="Times New Roman" w:cs="Times New Roman"/>
          <w:sz w:val="24"/>
          <w:szCs w:val="24"/>
        </w:rPr>
      </w:pPr>
      <w:r w:rsidRPr="00B731C4">
        <w:rPr>
          <w:rFonts w:ascii="Times" w:eastAsia="DengXian" w:hAnsi="Times" w:cs="Times New Roman"/>
          <w:color w:val="181818"/>
          <w:kern w:val="24"/>
          <w:szCs w:val="20"/>
          <w:highlight w:val="green"/>
          <w:lang w:val="en-GB"/>
        </w:rPr>
        <w:t>Agreement</w:t>
      </w:r>
    </w:p>
    <w:p w14:paraId="47F3E836" w14:textId="77777777" w:rsidR="00B731C4" w:rsidRPr="00B731C4" w:rsidRDefault="00B731C4" w:rsidP="00B731C4">
      <w:pPr>
        <w:spacing w:after="120" w:line="240" w:lineRule="auto"/>
        <w:ind w:left="567"/>
        <w:jc w:val="both"/>
        <w:rPr>
          <w:rFonts w:ascii="Times New Roman" w:eastAsia="Times New Roman" w:hAnsi="Times New Roman" w:cs="Times New Roman"/>
          <w:sz w:val="24"/>
          <w:szCs w:val="24"/>
        </w:rPr>
      </w:pPr>
      <w:r w:rsidRPr="00B731C4">
        <w:rPr>
          <w:rFonts w:ascii="Times" w:eastAsia="Batang" w:hAnsi="Times" w:cs="Times New Roman"/>
          <w:color w:val="181818"/>
          <w:kern w:val="24"/>
          <w:szCs w:val="20"/>
          <w:lang w:val="en-GB"/>
        </w:rPr>
        <w:t>For RRC configuration of semi-static switching pattern in Rel-19 low NR band carrier aggregation via switching, the time unit (resolution) of the semi-static switching pattern configuration is slot (1ms for 15kHz SCS).</w:t>
      </w:r>
    </w:p>
    <w:p w14:paraId="732033E9" w14:textId="77777777" w:rsidR="00B731C4" w:rsidRPr="00B731C4" w:rsidRDefault="00B731C4" w:rsidP="00B731C4">
      <w:pPr>
        <w:spacing w:after="0" w:line="240" w:lineRule="auto"/>
        <w:ind w:left="567"/>
        <w:rPr>
          <w:rFonts w:ascii="Times New Roman" w:eastAsia="Times New Roman" w:hAnsi="Times New Roman" w:cs="Times New Roman"/>
          <w:sz w:val="24"/>
          <w:szCs w:val="24"/>
        </w:rPr>
      </w:pPr>
      <w:r w:rsidRPr="00B731C4">
        <w:rPr>
          <w:rFonts w:ascii="Times" w:eastAsia="DengXian" w:hAnsi="Times" w:cs="Times New Roman"/>
          <w:color w:val="181818"/>
          <w:kern w:val="24"/>
          <w:szCs w:val="20"/>
          <w:highlight w:val="green"/>
          <w:lang w:val="en-GB"/>
        </w:rPr>
        <w:t>Agreement</w:t>
      </w:r>
    </w:p>
    <w:p w14:paraId="357458BF" w14:textId="77777777" w:rsidR="00B731C4" w:rsidRPr="00B731C4" w:rsidRDefault="00B731C4" w:rsidP="00B731C4">
      <w:pPr>
        <w:spacing w:after="0" w:line="240" w:lineRule="auto"/>
        <w:ind w:left="567"/>
        <w:rPr>
          <w:rFonts w:ascii="Times New Roman" w:eastAsia="Times New Roman" w:hAnsi="Times New Roman" w:cs="Times New Roman"/>
          <w:sz w:val="24"/>
          <w:szCs w:val="24"/>
        </w:rPr>
      </w:pPr>
      <w:r w:rsidRPr="00B731C4">
        <w:rPr>
          <w:rFonts w:ascii="Times" w:eastAsia="Batang" w:hAnsi="Times" w:cs="Times New Roman"/>
          <w:color w:val="181818"/>
          <w:kern w:val="24"/>
          <w:szCs w:val="20"/>
          <w:lang w:val="en-GB"/>
        </w:rPr>
        <w:t>For RRC configuration of semi-static switching pattern in Rel-19 low NR band carrier aggregation via switching, semi-static switching pattern is periodic with periodicity of P slots (ms), support P= 40 ms</w:t>
      </w:r>
    </w:p>
    <w:p w14:paraId="301D9446" w14:textId="77777777" w:rsidR="00B731C4" w:rsidRDefault="00B731C4" w:rsidP="00B731C4">
      <w:pPr>
        <w:rPr>
          <w:lang w:eastAsia="ja-JP"/>
        </w:rPr>
      </w:pPr>
    </w:p>
    <w:p w14:paraId="499DE999" w14:textId="093AFD2B" w:rsidR="00143A7A" w:rsidRPr="00B731C4" w:rsidRDefault="002504E0" w:rsidP="00A82AF7">
      <w:pPr>
        <w:jc w:val="both"/>
        <w:rPr>
          <w:lang w:eastAsia="ja-JP"/>
        </w:rPr>
      </w:pPr>
      <w:r>
        <w:rPr>
          <w:lang w:eastAsia="ja-JP"/>
        </w:rPr>
        <w:t>These</w:t>
      </w:r>
      <w:r w:rsidR="00B731C4">
        <w:rPr>
          <w:lang w:eastAsia="ja-JP"/>
        </w:rPr>
        <w:t xml:space="preserve"> agreements state that the switching pattern is configured via a slot-level bitmap with periodicity of 40 ms (40 slots). The first period is aligned with the beginning of SFN 0 on the PCell.</w:t>
      </w:r>
      <w:r w:rsidR="00A82AF7">
        <w:rPr>
          <w:lang w:eastAsia="ja-JP"/>
        </w:rPr>
        <w:t xml:space="preserve"> For discussion purposes,</w:t>
      </w:r>
      <w:r>
        <w:rPr>
          <w:lang w:eastAsia="ja-JP"/>
        </w:rPr>
        <w:t xml:space="preserve"> </w:t>
      </w:r>
      <w:r w:rsidR="00B731C4">
        <w:rPr>
          <w:lang w:eastAsia="ja-JP"/>
        </w:rPr>
        <w:t xml:space="preserve">we consider </w:t>
      </w:r>
      <w:r w:rsidR="00AA0053">
        <w:rPr>
          <w:lang w:eastAsia="ja-JP"/>
        </w:rPr>
        <w:t xml:space="preserve">exemplary </w:t>
      </w:r>
      <w:r w:rsidR="00B731C4">
        <w:rPr>
          <w:lang w:eastAsia="ja-JP"/>
        </w:rPr>
        <w:t xml:space="preserve">40 ms duration </w:t>
      </w:r>
      <w:r w:rsidR="00AA0053">
        <w:rPr>
          <w:lang w:eastAsia="ja-JP"/>
        </w:rPr>
        <w:t xml:space="preserve">patterns </w:t>
      </w:r>
      <w:r w:rsidR="00B731C4">
        <w:rPr>
          <w:lang w:eastAsia="ja-JP"/>
        </w:rPr>
        <w:t xml:space="preserve">in which </w:t>
      </w:r>
      <w:r w:rsidR="00841CDE">
        <w:rPr>
          <w:lang w:val="en-GB" w:eastAsia="ja-JP"/>
        </w:rPr>
        <w:t xml:space="preserve">two different </w:t>
      </w:r>
      <w:r w:rsidR="006F5FD0">
        <w:rPr>
          <w:lang w:val="en-GB" w:eastAsia="ja-JP"/>
        </w:rPr>
        <w:t>group</w:t>
      </w:r>
      <w:r w:rsidR="00971151">
        <w:rPr>
          <w:lang w:val="en-GB" w:eastAsia="ja-JP"/>
        </w:rPr>
        <w:t>s</w:t>
      </w:r>
      <w:r w:rsidR="00841CDE">
        <w:rPr>
          <w:lang w:val="en-GB" w:eastAsia="ja-JP"/>
        </w:rPr>
        <w:t xml:space="preserve"> of UEs </w:t>
      </w:r>
      <w:r w:rsidR="00B731C4">
        <w:rPr>
          <w:lang w:val="en-GB" w:eastAsia="ja-JP"/>
        </w:rPr>
        <w:t xml:space="preserve">are configured </w:t>
      </w:r>
      <w:r w:rsidR="00AA0053">
        <w:rPr>
          <w:lang w:val="en-GB" w:eastAsia="ja-JP"/>
        </w:rPr>
        <w:t xml:space="preserve">each </w:t>
      </w:r>
      <w:r w:rsidR="00B731C4">
        <w:rPr>
          <w:lang w:val="en-GB" w:eastAsia="ja-JP"/>
        </w:rPr>
        <w:t xml:space="preserve">with </w:t>
      </w:r>
      <w:r w:rsidR="00AA0053">
        <w:rPr>
          <w:lang w:val="en-GB" w:eastAsia="ja-JP"/>
        </w:rPr>
        <w:t xml:space="preserve">a </w:t>
      </w:r>
      <w:r w:rsidR="00B731C4">
        <w:rPr>
          <w:lang w:val="en-GB" w:eastAsia="ja-JP"/>
        </w:rPr>
        <w:t xml:space="preserve">different pattern </w:t>
      </w:r>
      <w:r w:rsidR="00841CDE">
        <w:rPr>
          <w:lang w:val="en-GB" w:eastAsia="ja-JP"/>
        </w:rPr>
        <w:t xml:space="preserve">to </w:t>
      </w:r>
      <w:r w:rsidR="001D56C7">
        <w:rPr>
          <w:lang w:val="en-GB" w:eastAsia="ja-JP"/>
        </w:rPr>
        <w:t>enable load</w:t>
      </w:r>
      <w:r w:rsidR="006F5FD0">
        <w:rPr>
          <w:lang w:val="en-GB" w:eastAsia="ja-JP"/>
        </w:rPr>
        <w:t xml:space="preserve"> </w:t>
      </w:r>
      <w:r w:rsidR="001D56C7">
        <w:rPr>
          <w:lang w:val="en-GB" w:eastAsia="ja-JP"/>
        </w:rPr>
        <w:t>sharing</w:t>
      </w:r>
      <w:r w:rsidR="006F5FD0">
        <w:rPr>
          <w:lang w:val="en-GB" w:eastAsia="ja-JP"/>
        </w:rPr>
        <w:t xml:space="preserve"> </w:t>
      </w:r>
      <w:proofErr w:type="spellStart"/>
      <w:r w:rsidR="00971151">
        <w:rPr>
          <w:lang w:val="en-GB" w:eastAsia="ja-JP"/>
        </w:rPr>
        <w:t>betwen</w:t>
      </w:r>
      <w:proofErr w:type="spellEnd"/>
      <w:r w:rsidR="00841CDE">
        <w:rPr>
          <w:lang w:val="en-GB" w:eastAsia="ja-JP"/>
        </w:rPr>
        <w:t xml:space="preserve"> the FDD and SDL carriers.</w:t>
      </w:r>
      <w:r w:rsidR="00143A7A">
        <w:rPr>
          <w:lang w:val="en-GB" w:eastAsia="ja-JP"/>
        </w:rPr>
        <w:t xml:space="preserve"> </w:t>
      </w:r>
      <w:r w:rsidR="00EF511A">
        <w:rPr>
          <w:lang w:val="en-GB" w:eastAsia="ja-JP"/>
        </w:rPr>
        <w:fldChar w:fldCharType="begin"/>
      </w:r>
      <w:r w:rsidR="00EF511A">
        <w:rPr>
          <w:lang w:val="en-GB" w:eastAsia="ja-JP"/>
        </w:rPr>
        <w:instrText xml:space="preserve"> REF _Ref193824589 \h </w:instrText>
      </w:r>
      <w:r w:rsidR="00EF511A">
        <w:rPr>
          <w:lang w:val="en-GB" w:eastAsia="ja-JP"/>
        </w:rPr>
      </w:r>
      <w:r w:rsidR="00EF511A">
        <w:rPr>
          <w:lang w:val="en-GB" w:eastAsia="ja-JP"/>
        </w:rPr>
        <w:fldChar w:fldCharType="separate"/>
      </w:r>
      <w:r w:rsidR="00AA0053">
        <w:t xml:space="preserve">Figure </w:t>
      </w:r>
      <w:r w:rsidR="00AA0053">
        <w:rPr>
          <w:noProof/>
        </w:rPr>
        <w:t>2</w:t>
      </w:r>
      <w:r w:rsidR="00EF511A">
        <w:rPr>
          <w:lang w:val="en-GB" w:eastAsia="ja-JP"/>
        </w:rPr>
        <w:fldChar w:fldCharType="end"/>
      </w:r>
      <w:r w:rsidR="00EF511A">
        <w:rPr>
          <w:lang w:val="en-GB" w:eastAsia="ja-JP"/>
        </w:rPr>
        <w:t xml:space="preserve"> </w:t>
      </w:r>
      <w:r w:rsidR="00551A7E">
        <w:rPr>
          <w:lang w:val="en-GB" w:eastAsia="ja-JP"/>
        </w:rPr>
        <w:t>shows the</w:t>
      </w:r>
      <w:r w:rsidR="00EF511A">
        <w:rPr>
          <w:lang w:val="en-GB" w:eastAsia="ja-JP"/>
        </w:rPr>
        <w:t xml:space="preserve"> exemplary </w:t>
      </w:r>
      <w:r w:rsidR="00EF511A" w:rsidRPr="00EF511A">
        <w:rPr>
          <w:lang w:val="en-GB" w:eastAsia="ja-JP"/>
        </w:rPr>
        <w:t xml:space="preserve">switching patterns </w:t>
      </w:r>
      <w:r w:rsidR="00B72ACC">
        <w:rPr>
          <w:lang w:val="en-GB" w:eastAsia="ja-JP"/>
        </w:rPr>
        <w:t xml:space="preserve">for which each user group spends roughly 50% of the time on the FDD carrier and 50% of time on the SDL carrier. </w:t>
      </w:r>
      <w:r w:rsidR="001D56C7">
        <w:rPr>
          <w:lang w:val="en-GB" w:eastAsia="ja-JP"/>
        </w:rPr>
        <w:t xml:space="preserve">We note that the </w:t>
      </w:r>
      <w:proofErr w:type="gramStart"/>
      <w:r w:rsidR="001D56C7">
        <w:rPr>
          <w:lang w:val="en-GB" w:eastAsia="ja-JP"/>
        </w:rPr>
        <w:t>50-50 time</w:t>
      </w:r>
      <w:proofErr w:type="gramEnd"/>
      <w:r w:rsidR="001D56C7">
        <w:rPr>
          <w:lang w:val="en-GB" w:eastAsia="ja-JP"/>
        </w:rPr>
        <w:t xml:space="preserve"> share is just an example; </w:t>
      </w:r>
      <w:r w:rsidR="00B72ACC">
        <w:rPr>
          <w:lang w:val="en-GB" w:eastAsia="ja-JP"/>
        </w:rPr>
        <w:t>a different target time share (e.g., 70-30, 80-20, etc.) would lead to different switching patterns.</w:t>
      </w:r>
      <w:r w:rsidR="00551A7E">
        <w:rPr>
          <w:lang w:val="en-GB" w:eastAsia="ja-JP"/>
        </w:rPr>
        <w:t xml:space="preserve"> </w:t>
      </w:r>
      <w:r w:rsidR="001D56C7">
        <w:rPr>
          <w:lang w:val="en-GB" w:eastAsia="ja-JP"/>
        </w:rPr>
        <w:t xml:space="preserve">For the patterns considered here, </w:t>
      </w:r>
      <w:r w:rsidR="00143A7A">
        <w:rPr>
          <w:lang w:val="en-GB" w:eastAsia="ja-JP"/>
        </w:rPr>
        <w:t xml:space="preserve">we assume that the TRS periodicity is 40 ms which is a widely used in the field, and that UEs </w:t>
      </w:r>
      <w:proofErr w:type="gramStart"/>
      <w:r w:rsidR="00143A7A">
        <w:rPr>
          <w:lang w:val="en-GB" w:eastAsia="ja-JP"/>
        </w:rPr>
        <w:t>are able to</w:t>
      </w:r>
      <w:proofErr w:type="gramEnd"/>
      <w:r w:rsidR="00143A7A">
        <w:rPr>
          <w:lang w:val="en-GB" w:eastAsia="ja-JP"/>
        </w:rPr>
        <w:t xml:space="preserve"> access the TRS on each carrier every 40 ms.</w:t>
      </w:r>
    </w:p>
    <w:p w14:paraId="042EF5B0" w14:textId="09F9EBD5" w:rsidR="00EF511A" w:rsidRDefault="00B72ACC" w:rsidP="002E17ED">
      <w:pPr>
        <w:jc w:val="both"/>
        <w:rPr>
          <w:lang w:val="en-GB" w:eastAsia="ja-JP"/>
        </w:rPr>
      </w:pPr>
      <w:r>
        <w:rPr>
          <w:lang w:val="en-GB" w:eastAsia="ja-JP"/>
        </w:rPr>
        <w:t>In</w:t>
      </w:r>
      <w:r w:rsidR="00AA0053">
        <w:rPr>
          <w:lang w:val="en-GB" w:eastAsia="ja-JP"/>
        </w:rPr>
        <w:t xml:space="preserve"> the example in</w:t>
      </w:r>
      <w:r>
        <w:rPr>
          <w:lang w:val="en-GB" w:eastAsia="ja-JP"/>
        </w:rPr>
        <w:t xml:space="preserve"> </w:t>
      </w:r>
      <w:r>
        <w:rPr>
          <w:lang w:val="en-GB" w:eastAsia="ja-JP"/>
        </w:rPr>
        <w:fldChar w:fldCharType="begin"/>
      </w:r>
      <w:r>
        <w:rPr>
          <w:lang w:val="en-GB" w:eastAsia="ja-JP"/>
        </w:rPr>
        <w:instrText xml:space="preserve"> REF _Ref193824589 \h </w:instrText>
      </w:r>
      <w:r>
        <w:rPr>
          <w:lang w:val="en-GB" w:eastAsia="ja-JP"/>
        </w:rPr>
      </w:r>
      <w:r>
        <w:rPr>
          <w:lang w:val="en-GB" w:eastAsia="ja-JP"/>
        </w:rPr>
        <w:fldChar w:fldCharType="separate"/>
      </w:r>
      <w:r w:rsidR="00AA0053">
        <w:t xml:space="preserve">Figure </w:t>
      </w:r>
      <w:r w:rsidR="00AA0053">
        <w:rPr>
          <w:noProof/>
        </w:rPr>
        <w:t>2</w:t>
      </w:r>
      <w:r>
        <w:rPr>
          <w:lang w:val="en-GB" w:eastAsia="ja-JP"/>
        </w:rPr>
        <w:fldChar w:fldCharType="end"/>
      </w:r>
      <w:r>
        <w:rPr>
          <w:lang w:val="en-GB" w:eastAsia="ja-JP"/>
        </w:rPr>
        <w:t xml:space="preserve">, </w:t>
      </w:r>
      <w:r w:rsidR="00555B15">
        <w:rPr>
          <w:lang w:val="en-GB" w:eastAsia="ja-JP"/>
        </w:rPr>
        <w:t>we assume the following:</w:t>
      </w:r>
    </w:p>
    <w:p w14:paraId="13C4D3AA" w14:textId="270634F9" w:rsidR="003F6552"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SIB1, and CSI-RS</w:t>
      </w:r>
      <w:r w:rsidRPr="003F6552">
        <w:rPr>
          <w:rFonts w:ascii="Arial" w:hAnsi="Arial" w:cs="Arial"/>
          <w:sz w:val="20"/>
          <w:szCs w:val="20"/>
          <w:lang w:val="en-GB" w:eastAsia="ja-JP"/>
        </w:rPr>
        <w:t xml:space="preserve"> periodicity is 20 ms on each carrier</w:t>
      </w:r>
    </w:p>
    <w:p w14:paraId="26C5DFDA" w14:textId="47B666AB" w:rsidR="000B47F9" w:rsidRPr="000B47F9" w:rsidRDefault="003F6552" w:rsidP="000B47F9">
      <w:pPr>
        <w:pStyle w:val="ListParagraph"/>
        <w:numPr>
          <w:ilvl w:val="1"/>
          <w:numId w:val="17"/>
        </w:numPr>
        <w:jc w:val="both"/>
        <w:rPr>
          <w:rFonts w:ascii="Arial" w:hAnsi="Arial" w:cs="Arial"/>
          <w:sz w:val="20"/>
          <w:szCs w:val="20"/>
          <w:lang w:val="en-GB" w:eastAsia="ja-JP"/>
        </w:rPr>
      </w:pPr>
      <w:r w:rsidRPr="003F6552">
        <w:rPr>
          <w:rFonts w:ascii="Arial" w:hAnsi="Arial" w:cs="Arial"/>
          <w:sz w:val="20"/>
          <w:szCs w:val="20"/>
          <w:lang w:val="en-GB" w:eastAsia="ja-JP"/>
        </w:rPr>
        <w:t xml:space="preserve">Occurs in the slots </w:t>
      </w:r>
      <w:proofErr w:type="spellStart"/>
      <w:r w:rsidRPr="003F6552">
        <w:rPr>
          <w:rFonts w:ascii="Arial" w:hAnsi="Arial" w:cs="Arial"/>
          <w:sz w:val="20"/>
          <w:szCs w:val="20"/>
          <w:lang w:val="en-GB" w:eastAsia="ja-JP"/>
        </w:rPr>
        <w:t>labeled</w:t>
      </w:r>
      <w:proofErr w:type="spellEnd"/>
      <w:r w:rsidRPr="003F6552">
        <w:rPr>
          <w:rFonts w:ascii="Arial" w:hAnsi="Arial" w:cs="Arial"/>
          <w:sz w:val="20"/>
          <w:szCs w:val="20"/>
          <w:lang w:val="en-GB" w:eastAsia="ja-JP"/>
        </w:rPr>
        <w:t xml:space="preserve"> ‘S’</w:t>
      </w:r>
      <w:r w:rsidR="000B47F9">
        <w:rPr>
          <w:rFonts w:ascii="Arial" w:hAnsi="Arial" w:cs="Arial"/>
          <w:sz w:val="20"/>
          <w:szCs w:val="20"/>
          <w:lang w:val="en-GB" w:eastAsia="ja-JP"/>
        </w:rPr>
        <w:t>, ‘SI’, and ‘C, respectively</w:t>
      </w:r>
    </w:p>
    <w:p w14:paraId="4123BFB6" w14:textId="6307C6A0" w:rsidR="00555B15"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TRS periodicity is 40 ms on each carrier</w:t>
      </w:r>
    </w:p>
    <w:p w14:paraId="4A41D5C9" w14:textId="639F5DC3" w:rsidR="00536A23" w:rsidRPr="003F6552" w:rsidRDefault="00536A23" w:rsidP="004F1677">
      <w:pPr>
        <w:pStyle w:val="ListParagraph"/>
        <w:numPr>
          <w:ilvl w:val="1"/>
          <w:numId w:val="17"/>
        </w:numPr>
        <w:jc w:val="both"/>
        <w:rPr>
          <w:rFonts w:ascii="Arial" w:hAnsi="Arial" w:cs="Arial"/>
          <w:sz w:val="20"/>
          <w:szCs w:val="20"/>
          <w:lang w:val="en-GB" w:eastAsia="ja-JP"/>
        </w:rPr>
      </w:pPr>
      <w:r>
        <w:rPr>
          <w:rFonts w:ascii="Arial" w:hAnsi="Arial" w:cs="Arial"/>
          <w:sz w:val="20"/>
          <w:szCs w:val="20"/>
          <w:lang w:val="en-GB" w:eastAsia="ja-JP"/>
        </w:rPr>
        <w:t>Occurs in the slots labelled ‘T’</w:t>
      </w:r>
    </w:p>
    <w:p w14:paraId="4AF90272" w14:textId="68DF91BB" w:rsidR="00555B15"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SIB1,</w:t>
      </w:r>
      <w:r w:rsidRPr="003F6552">
        <w:rPr>
          <w:rFonts w:ascii="Arial" w:hAnsi="Arial" w:cs="Arial"/>
          <w:sz w:val="20"/>
          <w:szCs w:val="20"/>
          <w:lang w:val="en-GB" w:eastAsia="ja-JP"/>
        </w:rPr>
        <w:t xml:space="preserve"> </w:t>
      </w:r>
      <w:r w:rsidR="003F6552" w:rsidRPr="003F6552">
        <w:rPr>
          <w:rFonts w:ascii="Arial" w:hAnsi="Arial" w:cs="Arial"/>
          <w:sz w:val="20"/>
          <w:szCs w:val="20"/>
          <w:lang w:val="en-GB" w:eastAsia="ja-JP"/>
        </w:rPr>
        <w:t>CSI-RS</w:t>
      </w:r>
      <w:r w:rsidR="000B47F9">
        <w:rPr>
          <w:rFonts w:ascii="Arial" w:hAnsi="Arial" w:cs="Arial"/>
          <w:sz w:val="20"/>
          <w:szCs w:val="20"/>
          <w:lang w:val="en-GB" w:eastAsia="ja-JP"/>
        </w:rPr>
        <w:t>,</w:t>
      </w:r>
      <w:r w:rsidR="003F6552" w:rsidRPr="003F6552">
        <w:rPr>
          <w:rFonts w:ascii="Arial" w:hAnsi="Arial" w:cs="Arial"/>
          <w:sz w:val="20"/>
          <w:szCs w:val="20"/>
          <w:lang w:val="en-GB" w:eastAsia="ja-JP"/>
        </w:rPr>
        <w:t xml:space="preserve"> and TRS </w:t>
      </w:r>
      <w:r w:rsidRPr="003F6552">
        <w:rPr>
          <w:rFonts w:ascii="Arial" w:hAnsi="Arial" w:cs="Arial"/>
          <w:sz w:val="20"/>
          <w:szCs w:val="20"/>
          <w:lang w:val="en-GB" w:eastAsia="ja-JP"/>
        </w:rPr>
        <w:t>on the FDD carrier occur in the first half frame</w:t>
      </w:r>
    </w:p>
    <w:p w14:paraId="5EB50A30" w14:textId="449B4AF7" w:rsidR="00555B15"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CSI-RS, and TRS</w:t>
      </w:r>
      <w:r w:rsidRPr="003F6552">
        <w:rPr>
          <w:rFonts w:ascii="Arial" w:hAnsi="Arial" w:cs="Arial"/>
          <w:sz w:val="20"/>
          <w:szCs w:val="20"/>
          <w:lang w:val="en-GB" w:eastAsia="ja-JP"/>
        </w:rPr>
        <w:t xml:space="preserve"> on the SDL carrier occur in the second half frame</w:t>
      </w:r>
    </w:p>
    <w:p w14:paraId="0F6B09DF" w14:textId="1CD34D18" w:rsidR="000B47F9" w:rsidRDefault="00555B15" w:rsidP="000B47F9">
      <w:pPr>
        <w:pStyle w:val="ListParagraph"/>
        <w:numPr>
          <w:ilvl w:val="1"/>
          <w:numId w:val="17"/>
        </w:numPr>
        <w:jc w:val="both"/>
        <w:rPr>
          <w:rFonts w:ascii="Arial" w:hAnsi="Arial" w:cs="Arial"/>
          <w:sz w:val="20"/>
          <w:szCs w:val="20"/>
          <w:lang w:val="en-GB" w:eastAsia="ja-JP"/>
        </w:rPr>
      </w:pPr>
      <w:r w:rsidRPr="003F6552">
        <w:rPr>
          <w:rFonts w:ascii="Arial" w:hAnsi="Arial" w:cs="Arial"/>
          <w:sz w:val="20"/>
          <w:szCs w:val="20"/>
          <w:lang w:val="en-GB" w:eastAsia="ja-JP"/>
        </w:rPr>
        <w:t xml:space="preserve">Such time staggering is beneficial since </w:t>
      </w:r>
      <w:r w:rsidR="00291F4A">
        <w:rPr>
          <w:rFonts w:ascii="Arial" w:hAnsi="Arial" w:cs="Arial"/>
          <w:sz w:val="20"/>
          <w:szCs w:val="20"/>
          <w:lang w:val="en-GB" w:eastAsia="ja-JP"/>
        </w:rPr>
        <w:t>a given</w:t>
      </w:r>
      <w:r w:rsidRPr="003F6552">
        <w:rPr>
          <w:rFonts w:ascii="Arial" w:hAnsi="Arial" w:cs="Arial"/>
          <w:sz w:val="20"/>
          <w:szCs w:val="20"/>
          <w:lang w:val="en-GB" w:eastAsia="ja-JP"/>
        </w:rPr>
        <w:t xml:space="preserve"> UE is not able to receive these important signals simultaneously on both carriers</w:t>
      </w:r>
    </w:p>
    <w:p w14:paraId="74D3C99C" w14:textId="77777777" w:rsidR="000B47F9" w:rsidRDefault="000B47F9" w:rsidP="000B47F9">
      <w:pPr>
        <w:spacing w:after="0"/>
        <w:jc w:val="both"/>
        <w:rPr>
          <w:rFonts w:cs="Arial"/>
          <w:szCs w:val="20"/>
          <w:lang w:val="en-GB" w:eastAsia="ja-JP"/>
        </w:rPr>
      </w:pPr>
    </w:p>
    <w:p w14:paraId="6C1784BF" w14:textId="77777777" w:rsidR="002504E0" w:rsidRDefault="002504E0" w:rsidP="002504E0">
      <w:pPr>
        <w:pStyle w:val="BodyText"/>
        <w:ind w:left="-720"/>
      </w:pPr>
      <w:r w:rsidRPr="000B47F9">
        <w:rPr>
          <w:noProof/>
        </w:rPr>
        <w:drawing>
          <wp:inline distT="0" distB="0" distL="0" distR="0" wp14:anchorId="5C8D87C6" wp14:editId="3C9E9318">
            <wp:extent cx="7315200" cy="1682496"/>
            <wp:effectExtent l="0" t="0" r="0" b="0"/>
            <wp:docPr id="131210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67003" b="1783"/>
                    <a:stretch/>
                  </pic:blipFill>
                  <pic:spPr bwMode="auto">
                    <a:xfrm>
                      <a:off x="0" y="0"/>
                      <a:ext cx="7315200" cy="1682496"/>
                    </a:xfrm>
                    <a:prstGeom prst="rect">
                      <a:avLst/>
                    </a:prstGeom>
                    <a:noFill/>
                    <a:ln>
                      <a:noFill/>
                    </a:ln>
                    <a:extLst>
                      <a:ext uri="{53640926-AAD7-44D8-BBD7-CCE9431645EC}">
                        <a14:shadowObscured xmlns:a14="http://schemas.microsoft.com/office/drawing/2010/main"/>
                      </a:ext>
                    </a:extLst>
                  </pic:spPr>
                </pic:pic>
              </a:graphicData>
            </a:graphic>
          </wp:inline>
        </w:drawing>
      </w:r>
    </w:p>
    <w:p w14:paraId="5D4C8B6C" w14:textId="63E1F9F5" w:rsidR="002504E0" w:rsidRDefault="002504E0" w:rsidP="002504E0">
      <w:pPr>
        <w:pStyle w:val="Caption"/>
        <w:spacing w:before="0" w:after="0"/>
        <w:jc w:val="center"/>
      </w:pPr>
      <w:bookmarkStart w:id="2" w:name="_Ref193824589"/>
      <w:r>
        <w:t xml:space="preserve">Figure </w:t>
      </w:r>
      <w:r>
        <w:fldChar w:fldCharType="begin"/>
      </w:r>
      <w:r>
        <w:instrText xml:space="preserve"> SEQ Figure \* ARABIC </w:instrText>
      </w:r>
      <w:r>
        <w:fldChar w:fldCharType="separate"/>
      </w:r>
      <w:r w:rsidR="00866982">
        <w:rPr>
          <w:noProof/>
        </w:rPr>
        <w:t>2</w:t>
      </w:r>
      <w:r>
        <w:fldChar w:fldCharType="end"/>
      </w:r>
      <w:bookmarkEnd w:id="2"/>
      <w:r>
        <w:t>: Exemplary switching patterns with 40 ms periodicity configured for roughly 50-50 time sharing between FDD and SDL carriers for each of two groups of users.</w:t>
      </w:r>
    </w:p>
    <w:p w14:paraId="03BFD14C" w14:textId="77777777" w:rsidR="002504E0" w:rsidRDefault="002504E0" w:rsidP="000B47F9">
      <w:pPr>
        <w:spacing w:after="0"/>
        <w:jc w:val="both"/>
        <w:rPr>
          <w:rFonts w:cs="Arial"/>
          <w:szCs w:val="20"/>
          <w:lang w:val="en-GB" w:eastAsia="ja-JP"/>
        </w:rPr>
      </w:pPr>
    </w:p>
    <w:p w14:paraId="3CD7FD8C" w14:textId="7A9776EF" w:rsidR="00536A23" w:rsidRPr="00536A23" w:rsidRDefault="00536A23" w:rsidP="00536A23">
      <w:pPr>
        <w:jc w:val="both"/>
        <w:rPr>
          <w:rFonts w:cs="Arial"/>
          <w:szCs w:val="20"/>
          <w:lang w:val="en-GB" w:eastAsia="ja-JP"/>
        </w:rPr>
      </w:pPr>
      <w:r>
        <w:rPr>
          <w:rFonts w:cs="Arial"/>
          <w:szCs w:val="20"/>
          <w:lang w:val="en-GB" w:eastAsia="ja-JP"/>
        </w:rPr>
        <w:t xml:space="preserve">The </w:t>
      </w:r>
      <w:r w:rsidR="00E51CAF">
        <w:rPr>
          <w:rFonts w:cs="Arial"/>
          <w:szCs w:val="20"/>
          <w:lang w:val="en-GB" w:eastAsia="ja-JP"/>
        </w:rPr>
        <w:t xml:space="preserve">configured </w:t>
      </w:r>
      <w:r>
        <w:rPr>
          <w:rFonts w:cs="Arial"/>
          <w:szCs w:val="20"/>
          <w:lang w:val="en-GB" w:eastAsia="ja-JP"/>
        </w:rPr>
        <w:t xml:space="preserve">patterns </w:t>
      </w:r>
      <w:r w:rsidR="00B72ACC">
        <w:rPr>
          <w:rFonts w:cs="Arial"/>
          <w:szCs w:val="20"/>
          <w:lang w:val="en-GB" w:eastAsia="ja-JP"/>
        </w:rPr>
        <w:t xml:space="preserve">in this example are </w:t>
      </w:r>
      <w:r w:rsidR="00E51CAF">
        <w:rPr>
          <w:rFonts w:cs="Arial"/>
          <w:szCs w:val="20"/>
          <w:lang w:val="en-GB" w:eastAsia="ja-JP"/>
        </w:rPr>
        <w:t>selected</w:t>
      </w:r>
      <w:r>
        <w:rPr>
          <w:rFonts w:cs="Arial"/>
          <w:szCs w:val="20"/>
          <w:lang w:val="en-GB" w:eastAsia="ja-JP"/>
        </w:rPr>
        <w:t xml:space="preserve"> using the following guidelines:</w:t>
      </w:r>
    </w:p>
    <w:p w14:paraId="5363DDB6" w14:textId="13B32095" w:rsidR="00536A23"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In slots containing SSB</w:t>
      </w:r>
      <w:r w:rsidR="000B47F9">
        <w:rPr>
          <w:rFonts w:ascii="Arial" w:hAnsi="Arial" w:cs="Arial"/>
          <w:sz w:val="20"/>
          <w:szCs w:val="20"/>
          <w:lang w:val="en-GB" w:eastAsia="ja-JP"/>
        </w:rPr>
        <w:t>, (SIB1), CSI-RS, and TRS</w:t>
      </w:r>
      <w:r w:rsidRPr="003F6552">
        <w:rPr>
          <w:rFonts w:ascii="Arial" w:hAnsi="Arial" w:cs="Arial"/>
          <w:sz w:val="20"/>
          <w:szCs w:val="20"/>
          <w:lang w:val="en-GB" w:eastAsia="ja-JP"/>
        </w:rPr>
        <w:t xml:space="preserve"> </w:t>
      </w:r>
      <w:r w:rsidR="00291F4A">
        <w:rPr>
          <w:rFonts w:ascii="Arial" w:hAnsi="Arial" w:cs="Arial"/>
          <w:sz w:val="20"/>
          <w:szCs w:val="20"/>
          <w:lang w:val="en-GB" w:eastAsia="ja-JP"/>
        </w:rPr>
        <w:t xml:space="preserve">on </w:t>
      </w:r>
      <w:r w:rsidR="00E51CAF">
        <w:rPr>
          <w:rFonts w:ascii="Arial" w:hAnsi="Arial" w:cs="Arial"/>
          <w:sz w:val="20"/>
          <w:szCs w:val="20"/>
          <w:lang w:val="en-GB" w:eastAsia="ja-JP"/>
        </w:rPr>
        <w:t xml:space="preserve">each </w:t>
      </w:r>
      <w:r w:rsidR="00291F4A">
        <w:rPr>
          <w:rFonts w:ascii="Arial" w:hAnsi="Arial" w:cs="Arial"/>
          <w:sz w:val="20"/>
          <w:szCs w:val="20"/>
          <w:lang w:val="en-GB" w:eastAsia="ja-JP"/>
        </w:rPr>
        <w:t>carrier</w:t>
      </w:r>
      <w:r w:rsidRPr="003F6552">
        <w:rPr>
          <w:rFonts w:ascii="Arial" w:hAnsi="Arial" w:cs="Arial"/>
          <w:sz w:val="20"/>
          <w:szCs w:val="20"/>
          <w:lang w:val="en-GB" w:eastAsia="ja-JP"/>
        </w:rPr>
        <w:t xml:space="preserve">, all users in both user groups </w:t>
      </w:r>
      <w:r w:rsidR="00536A23">
        <w:rPr>
          <w:rFonts w:ascii="Arial" w:hAnsi="Arial" w:cs="Arial"/>
          <w:sz w:val="20"/>
          <w:szCs w:val="20"/>
          <w:lang w:val="en-GB" w:eastAsia="ja-JP"/>
        </w:rPr>
        <w:t xml:space="preserve">switch to </w:t>
      </w:r>
      <w:r w:rsidR="00E51CAF">
        <w:rPr>
          <w:rFonts w:ascii="Arial" w:hAnsi="Arial" w:cs="Arial"/>
          <w:sz w:val="20"/>
          <w:szCs w:val="20"/>
          <w:lang w:val="en-GB" w:eastAsia="ja-JP"/>
        </w:rPr>
        <w:t>the</w:t>
      </w:r>
      <w:r w:rsidR="00536A23">
        <w:rPr>
          <w:rFonts w:ascii="Arial" w:hAnsi="Arial" w:cs="Arial"/>
          <w:sz w:val="20"/>
          <w:szCs w:val="20"/>
          <w:lang w:val="en-GB" w:eastAsia="ja-JP"/>
        </w:rPr>
        <w:t xml:space="preserve"> carrier simultaneously</w:t>
      </w:r>
      <w:r w:rsidR="00291F4A">
        <w:rPr>
          <w:rFonts w:ascii="Arial" w:hAnsi="Arial" w:cs="Arial"/>
          <w:sz w:val="20"/>
          <w:szCs w:val="20"/>
          <w:lang w:val="en-GB" w:eastAsia="ja-JP"/>
        </w:rPr>
        <w:t xml:space="preserve"> </w:t>
      </w:r>
      <w:r w:rsidR="000F2A77">
        <w:rPr>
          <w:rFonts w:ascii="Arial" w:hAnsi="Arial" w:cs="Arial"/>
          <w:sz w:val="20"/>
          <w:szCs w:val="20"/>
          <w:lang w:val="en-GB" w:eastAsia="ja-JP"/>
        </w:rPr>
        <w:t>to enable reception of</w:t>
      </w:r>
      <w:r w:rsidR="00291F4A">
        <w:rPr>
          <w:rFonts w:ascii="Arial" w:hAnsi="Arial" w:cs="Arial"/>
          <w:sz w:val="20"/>
          <w:szCs w:val="20"/>
          <w:lang w:val="en-GB" w:eastAsia="ja-JP"/>
        </w:rPr>
        <w:t xml:space="preserve"> these </w:t>
      </w:r>
      <w:proofErr w:type="spellStart"/>
      <w:r w:rsidR="00291F4A">
        <w:rPr>
          <w:rFonts w:ascii="Arial" w:hAnsi="Arial" w:cs="Arial"/>
          <w:sz w:val="20"/>
          <w:szCs w:val="20"/>
          <w:lang w:val="en-GB" w:eastAsia="ja-JP"/>
        </w:rPr>
        <w:t>siganls</w:t>
      </w:r>
      <w:proofErr w:type="spellEnd"/>
      <w:r w:rsidR="00536A23">
        <w:rPr>
          <w:rFonts w:ascii="Arial" w:hAnsi="Arial" w:cs="Arial"/>
          <w:sz w:val="20"/>
          <w:szCs w:val="20"/>
          <w:lang w:val="en-GB" w:eastAsia="ja-JP"/>
        </w:rPr>
        <w:t xml:space="preserve">. </w:t>
      </w:r>
      <w:r w:rsidR="000B47F9">
        <w:rPr>
          <w:rFonts w:ascii="Arial" w:hAnsi="Arial" w:cs="Arial"/>
          <w:sz w:val="20"/>
          <w:szCs w:val="20"/>
          <w:lang w:val="en-GB" w:eastAsia="ja-JP"/>
        </w:rPr>
        <w:t>For</w:t>
      </w:r>
      <w:r w:rsidR="000F2A77">
        <w:rPr>
          <w:rFonts w:ascii="Arial" w:hAnsi="Arial" w:cs="Arial"/>
          <w:sz w:val="20"/>
          <w:szCs w:val="20"/>
          <w:lang w:val="en-GB" w:eastAsia="ja-JP"/>
        </w:rPr>
        <w:t xml:space="preserve"> TRS</w:t>
      </w:r>
      <w:r w:rsidR="000B47F9">
        <w:rPr>
          <w:rFonts w:ascii="Arial" w:hAnsi="Arial" w:cs="Arial"/>
          <w:sz w:val="20"/>
          <w:szCs w:val="20"/>
          <w:lang w:val="en-GB" w:eastAsia="ja-JP"/>
        </w:rPr>
        <w:t>, this is necessary</w:t>
      </w:r>
      <w:r w:rsidR="000F2A77">
        <w:rPr>
          <w:rFonts w:ascii="Arial" w:hAnsi="Arial" w:cs="Arial"/>
          <w:sz w:val="20"/>
          <w:szCs w:val="20"/>
          <w:lang w:val="en-GB" w:eastAsia="ja-JP"/>
        </w:rPr>
        <w:t xml:space="preserve"> </w:t>
      </w:r>
      <w:proofErr w:type="gramStart"/>
      <w:r w:rsidR="000F2A77">
        <w:rPr>
          <w:rFonts w:ascii="Arial" w:hAnsi="Arial" w:cs="Arial"/>
          <w:sz w:val="20"/>
          <w:szCs w:val="20"/>
          <w:lang w:val="en-GB" w:eastAsia="ja-JP"/>
        </w:rPr>
        <w:t>in order for</w:t>
      </w:r>
      <w:proofErr w:type="gramEnd"/>
      <w:r w:rsidR="000F2A77">
        <w:rPr>
          <w:rFonts w:ascii="Arial" w:hAnsi="Arial" w:cs="Arial"/>
          <w:sz w:val="20"/>
          <w:szCs w:val="20"/>
          <w:lang w:val="en-GB" w:eastAsia="ja-JP"/>
        </w:rPr>
        <w:t xml:space="preserve"> the UE to maintain fine time-frequency synchronization. In these slots</w:t>
      </w:r>
      <w:r w:rsidR="00E06E73">
        <w:rPr>
          <w:rFonts w:ascii="Arial" w:hAnsi="Arial" w:cs="Arial"/>
          <w:sz w:val="20"/>
          <w:szCs w:val="20"/>
          <w:lang w:val="en-GB" w:eastAsia="ja-JP"/>
        </w:rPr>
        <w:t>, one carrier goes unused</w:t>
      </w:r>
      <w:r w:rsidR="000F2A77">
        <w:rPr>
          <w:rFonts w:ascii="Arial" w:hAnsi="Arial" w:cs="Arial"/>
          <w:sz w:val="20"/>
          <w:szCs w:val="20"/>
          <w:lang w:val="en-GB" w:eastAsia="ja-JP"/>
        </w:rPr>
        <w:t xml:space="preserve"> (no load sharing). This is indicated by the slots </w:t>
      </w:r>
      <w:proofErr w:type="spellStart"/>
      <w:r w:rsidR="000F2A77">
        <w:rPr>
          <w:rFonts w:ascii="Arial" w:hAnsi="Arial" w:cs="Arial"/>
          <w:sz w:val="20"/>
          <w:szCs w:val="20"/>
          <w:lang w:val="en-GB" w:eastAsia="ja-JP"/>
        </w:rPr>
        <w:t>colored</w:t>
      </w:r>
      <w:proofErr w:type="spellEnd"/>
      <w:r w:rsidR="000F2A77">
        <w:rPr>
          <w:rFonts w:ascii="Arial" w:hAnsi="Arial" w:cs="Arial"/>
          <w:sz w:val="20"/>
          <w:szCs w:val="20"/>
          <w:lang w:val="en-GB" w:eastAsia="ja-JP"/>
        </w:rPr>
        <w:t xml:space="preserve"> </w:t>
      </w:r>
      <w:r w:rsidR="000F2A77" w:rsidRPr="00F7636D">
        <w:rPr>
          <w:rFonts w:ascii="Arial" w:hAnsi="Arial" w:cs="Arial"/>
          <w:color w:val="FFC000"/>
          <w:sz w:val="20"/>
          <w:szCs w:val="20"/>
          <w:lang w:val="en-GB" w:eastAsia="ja-JP"/>
        </w:rPr>
        <w:t>orange</w:t>
      </w:r>
      <w:r w:rsidR="000F2A77">
        <w:rPr>
          <w:rFonts w:ascii="Arial" w:hAnsi="Arial" w:cs="Arial"/>
          <w:color w:val="FFC000"/>
          <w:sz w:val="20"/>
          <w:szCs w:val="20"/>
          <w:lang w:val="en-GB" w:eastAsia="ja-JP"/>
        </w:rPr>
        <w:t xml:space="preserve"> </w:t>
      </w:r>
      <w:proofErr w:type="gramStart"/>
      <w:r w:rsidR="000F2A77" w:rsidRPr="00E06E73">
        <w:rPr>
          <w:rFonts w:ascii="Arial" w:hAnsi="Arial" w:cs="Arial"/>
          <w:sz w:val="20"/>
          <w:szCs w:val="20"/>
          <w:lang w:val="en-GB" w:eastAsia="ja-JP"/>
        </w:rPr>
        <w:t>In</w:t>
      </w:r>
      <w:proofErr w:type="gramEnd"/>
      <w:r w:rsidR="000F2A77" w:rsidRPr="00E06E73">
        <w:rPr>
          <w:rFonts w:ascii="Arial" w:hAnsi="Arial" w:cs="Arial"/>
          <w:sz w:val="20"/>
          <w:szCs w:val="20"/>
          <w:lang w:val="en-GB" w:eastAsia="ja-JP"/>
        </w:rPr>
        <w:t xml:space="preserve"> </w:t>
      </w:r>
      <w:r w:rsidR="000F2A77" w:rsidRPr="00E06E73">
        <w:rPr>
          <w:rFonts w:ascii="Arial" w:hAnsi="Arial" w:cs="Arial"/>
          <w:sz w:val="20"/>
          <w:szCs w:val="20"/>
          <w:lang w:val="en-GB" w:eastAsia="ja-JP"/>
        </w:rPr>
        <w:fldChar w:fldCharType="begin"/>
      </w:r>
      <w:r w:rsidR="000F2A77" w:rsidRPr="00E06E73">
        <w:rPr>
          <w:rFonts w:ascii="Arial" w:hAnsi="Arial" w:cs="Arial"/>
          <w:sz w:val="20"/>
          <w:szCs w:val="20"/>
          <w:lang w:val="en-GB" w:eastAsia="ja-JP"/>
        </w:rPr>
        <w:instrText xml:space="preserve"> REF _Ref193824589 \h  \* MERGEFORMAT </w:instrText>
      </w:r>
      <w:r w:rsidR="000F2A77" w:rsidRPr="00E06E73">
        <w:rPr>
          <w:rFonts w:ascii="Arial" w:hAnsi="Arial" w:cs="Arial"/>
          <w:sz w:val="20"/>
          <w:szCs w:val="20"/>
          <w:lang w:val="en-GB" w:eastAsia="ja-JP"/>
        </w:rPr>
      </w:r>
      <w:r w:rsidR="000F2A77" w:rsidRPr="00E06E73">
        <w:rPr>
          <w:rFonts w:ascii="Arial" w:hAnsi="Arial" w:cs="Arial"/>
          <w:sz w:val="20"/>
          <w:szCs w:val="20"/>
          <w:lang w:val="en-GB" w:eastAsia="ja-JP"/>
        </w:rPr>
        <w:fldChar w:fldCharType="separate"/>
      </w:r>
      <w:r w:rsidR="000F2A77" w:rsidRPr="00E06E73">
        <w:rPr>
          <w:rFonts w:ascii="Arial" w:hAnsi="Arial" w:cs="Arial"/>
          <w:sz w:val="20"/>
          <w:szCs w:val="20"/>
        </w:rPr>
        <w:t xml:space="preserve">Figure </w:t>
      </w:r>
      <w:r w:rsidR="000F2A77" w:rsidRPr="00E06E73">
        <w:rPr>
          <w:rFonts w:ascii="Arial" w:hAnsi="Arial" w:cs="Arial"/>
          <w:noProof/>
          <w:sz w:val="20"/>
          <w:szCs w:val="20"/>
        </w:rPr>
        <w:t>3</w:t>
      </w:r>
      <w:r w:rsidR="000F2A77" w:rsidRPr="00E06E73">
        <w:rPr>
          <w:rFonts w:ascii="Arial" w:hAnsi="Arial" w:cs="Arial"/>
          <w:sz w:val="20"/>
          <w:szCs w:val="20"/>
          <w:lang w:val="en-GB" w:eastAsia="ja-JP"/>
        </w:rPr>
        <w:fldChar w:fldCharType="end"/>
      </w:r>
      <w:r w:rsidR="00E51CAF">
        <w:rPr>
          <w:rFonts w:ascii="Arial" w:hAnsi="Arial" w:cs="Arial"/>
          <w:sz w:val="20"/>
          <w:szCs w:val="20"/>
          <w:lang w:val="en-GB" w:eastAsia="ja-JP"/>
        </w:rPr>
        <w:t xml:space="preserve"> in each pattern period</w:t>
      </w:r>
      <w:r w:rsidR="000F2A77">
        <w:rPr>
          <w:rFonts w:ascii="Arial" w:hAnsi="Arial" w:cs="Arial"/>
          <w:sz w:val="20"/>
          <w:szCs w:val="20"/>
          <w:lang w:val="en-GB" w:eastAsia="ja-JP"/>
        </w:rPr>
        <w:t>.</w:t>
      </w:r>
    </w:p>
    <w:p w14:paraId="706C02F2" w14:textId="2FC7F248" w:rsidR="00536A23" w:rsidRDefault="00536A23" w:rsidP="004F1677">
      <w:pPr>
        <w:pStyle w:val="ListParagraph"/>
        <w:numPr>
          <w:ilvl w:val="0"/>
          <w:numId w:val="17"/>
        </w:numPr>
        <w:jc w:val="both"/>
        <w:rPr>
          <w:rFonts w:ascii="Arial" w:hAnsi="Arial" w:cs="Arial"/>
          <w:sz w:val="20"/>
          <w:szCs w:val="20"/>
          <w:lang w:val="en-GB" w:eastAsia="ja-JP"/>
        </w:rPr>
      </w:pPr>
      <w:r>
        <w:rPr>
          <w:rFonts w:ascii="Arial" w:hAnsi="Arial" w:cs="Arial"/>
          <w:sz w:val="20"/>
          <w:szCs w:val="20"/>
          <w:lang w:val="en-GB" w:eastAsia="ja-JP"/>
        </w:rPr>
        <w:lastRenderedPageBreak/>
        <w:t xml:space="preserve">The remainder of the slots </w:t>
      </w:r>
      <w:r w:rsidRPr="00E51CAF">
        <w:rPr>
          <w:rFonts w:ascii="Arial" w:hAnsi="Arial" w:cs="Arial"/>
          <w:sz w:val="20"/>
          <w:szCs w:val="20"/>
          <w:lang w:val="en-GB" w:eastAsia="ja-JP"/>
        </w:rPr>
        <w:t xml:space="preserve">within </w:t>
      </w:r>
      <w:r w:rsidR="00E51CAF" w:rsidRPr="00E51CAF">
        <w:rPr>
          <w:rFonts w:ascii="Arial" w:hAnsi="Arial" w:cs="Arial"/>
          <w:sz w:val="20"/>
          <w:szCs w:val="20"/>
          <w:lang w:val="en-GB" w:eastAsia="ja-JP"/>
        </w:rPr>
        <w:t>a</w:t>
      </w:r>
      <w:r w:rsidRPr="00E51CAF">
        <w:rPr>
          <w:rFonts w:ascii="Arial" w:hAnsi="Arial" w:cs="Arial"/>
          <w:sz w:val="20"/>
          <w:szCs w:val="20"/>
          <w:lang w:val="en-GB" w:eastAsia="ja-JP"/>
        </w:rPr>
        <w:t xml:space="preserve"> pattern period</w:t>
      </w:r>
      <w:r>
        <w:rPr>
          <w:rFonts w:ascii="Arial" w:hAnsi="Arial" w:cs="Arial"/>
          <w:sz w:val="20"/>
          <w:szCs w:val="20"/>
          <w:lang w:val="en-GB" w:eastAsia="ja-JP"/>
        </w:rPr>
        <w:t xml:space="preserve"> are available for load sharing</w:t>
      </w:r>
      <w:r w:rsidR="00291F4A">
        <w:rPr>
          <w:rFonts w:ascii="Arial" w:hAnsi="Arial" w:cs="Arial"/>
          <w:sz w:val="20"/>
          <w:szCs w:val="20"/>
          <w:lang w:val="en-GB" w:eastAsia="ja-JP"/>
        </w:rPr>
        <w:t xml:space="preserve"> and these are </w:t>
      </w:r>
      <w:proofErr w:type="spellStart"/>
      <w:r w:rsidR="00291F4A">
        <w:rPr>
          <w:rFonts w:ascii="Arial" w:hAnsi="Arial" w:cs="Arial"/>
          <w:sz w:val="20"/>
          <w:szCs w:val="20"/>
          <w:lang w:val="en-GB" w:eastAsia="ja-JP"/>
        </w:rPr>
        <w:t>colored</w:t>
      </w:r>
      <w:proofErr w:type="spellEnd"/>
      <w:r w:rsidR="00291F4A">
        <w:rPr>
          <w:rFonts w:ascii="Arial" w:hAnsi="Arial" w:cs="Arial"/>
          <w:sz w:val="20"/>
          <w:szCs w:val="20"/>
          <w:lang w:val="en-GB" w:eastAsia="ja-JP"/>
        </w:rPr>
        <w:t xml:space="preserve"> </w:t>
      </w:r>
      <w:r w:rsidR="00291F4A" w:rsidRPr="00F7636D">
        <w:rPr>
          <w:rFonts w:ascii="Arial" w:hAnsi="Arial" w:cs="Arial"/>
          <w:color w:val="0070C0"/>
          <w:sz w:val="20"/>
          <w:szCs w:val="20"/>
          <w:lang w:val="en-GB" w:eastAsia="ja-JP"/>
        </w:rPr>
        <w:t>blue</w:t>
      </w:r>
      <w:r w:rsidR="00291F4A">
        <w:rPr>
          <w:rFonts w:ascii="Arial" w:hAnsi="Arial" w:cs="Arial"/>
          <w:sz w:val="20"/>
          <w:szCs w:val="20"/>
          <w:lang w:val="en-GB" w:eastAsia="ja-JP"/>
        </w:rPr>
        <w:t xml:space="preserve">. </w:t>
      </w:r>
      <w:r>
        <w:rPr>
          <w:rFonts w:ascii="Arial" w:hAnsi="Arial" w:cs="Arial"/>
          <w:sz w:val="20"/>
          <w:szCs w:val="20"/>
          <w:lang w:val="en-GB" w:eastAsia="ja-JP"/>
        </w:rPr>
        <w:t xml:space="preserve">In </w:t>
      </w:r>
      <w:r w:rsidR="001A43C8">
        <w:rPr>
          <w:rFonts w:ascii="Arial" w:hAnsi="Arial" w:cs="Arial"/>
          <w:sz w:val="20"/>
          <w:szCs w:val="20"/>
          <w:lang w:val="en-GB" w:eastAsia="ja-JP"/>
        </w:rPr>
        <w:t xml:space="preserve">the </w:t>
      </w:r>
      <w:r w:rsidR="001A43C8" w:rsidRPr="00F7636D">
        <w:rPr>
          <w:rFonts w:ascii="Arial" w:hAnsi="Arial" w:cs="Arial"/>
          <w:color w:val="0070C0"/>
          <w:sz w:val="20"/>
          <w:szCs w:val="20"/>
          <w:lang w:val="en-GB" w:eastAsia="ja-JP"/>
        </w:rPr>
        <w:t>blue</w:t>
      </w:r>
      <w:r>
        <w:rPr>
          <w:rFonts w:ascii="Arial" w:hAnsi="Arial" w:cs="Arial"/>
          <w:sz w:val="20"/>
          <w:szCs w:val="20"/>
          <w:lang w:val="en-GB" w:eastAsia="ja-JP"/>
        </w:rPr>
        <w:t xml:space="preserve"> slots, the </w:t>
      </w:r>
      <w:r w:rsidR="00F61537">
        <w:rPr>
          <w:rFonts w:ascii="Arial" w:hAnsi="Arial" w:cs="Arial"/>
          <w:sz w:val="20"/>
          <w:szCs w:val="20"/>
          <w:lang w:val="en-GB" w:eastAsia="ja-JP"/>
        </w:rPr>
        <w:t xml:space="preserve">switching </w:t>
      </w:r>
      <w:r>
        <w:rPr>
          <w:rFonts w:ascii="Arial" w:hAnsi="Arial" w:cs="Arial"/>
          <w:sz w:val="20"/>
          <w:szCs w:val="20"/>
          <w:lang w:val="en-GB" w:eastAsia="ja-JP"/>
        </w:rPr>
        <w:t xml:space="preserve">patterns for the two user groups are </w:t>
      </w:r>
      <w:r w:rsidR="00DE5E31">
        <w:rPr>
          <w:rFonts w:ascii="Arial" w:hAnsi="Arial" w:cs="Arial"/>
          <w:sz w:val="20"/>
          <w:szCs w:val="20"/>
          <w:lang w:val="en-GB" w:eastAsia="ja-JP"/>
        </w:rPr>
        <w:t xml:space="preserve">chosen to be </w:t>
      </w:r>
      <w:r>
        <w:rPr>
          <w:rFonts w:ascii="Arial" w:hAnsi="Arial" w:cs="Arial"/>
          <w:sz w:val="20"/>
          <w:szCs w:val="20"/>
          <w:lang w:val="en-GB" w:eastAsia="ja-JP"/>
        </w:rPr>
        <w:t xml:space="preserve">orthogonal, i.e., one user group uses the FDD carrier, while the other </w:t>
      </w:r>
      <w:r w:rsidR="00615961">
        <w:rPr>
          <w:rFonts w:ascii="Arial" w:hAnsi="Arial" w:cs="Arial"/>
          <w:sz w:val="20"/>
          <w:szCs w:val="20"/>
          <w:lang w:val="en-GB" w:eastAsia="ja-JP"/>
        </w:rPr>
        <w:t xml:space="preserve">user group </w:t>
      </w:r>
      <w:r>
        <w:rPr>
          <w:rFonts w:ascii="Arial" w:hAnsi="Arial" w:cs="Arial"/>
          <w:sz w:val="20"/>
          <w:szCs w:val="20"/>
          <w:lang w:val="en-GB" w:eastAsia="ja-JP"/>
        </w:rPr>
        <w:t>uses the SDL carrier.</w:t>
      </w:r>
    </w:p>
    <w:p w14:paraId="70D6CB6E" w14:textId="77777777" w:rsidR="00DE5E31" w:rsidRDefault="00DE5E31" w:rsidP="00291F4A">
      <w:pPr>
        <w:jc w:val="both"/>
        <w:rPr>
          <w:lang w:val="en-GB" w:eastAsia="ja-JP"/>
        </w:rPr>
      </w:pPr>
    </w:p>
    <w:p w14:paraId="59F46F79" w14:textId="297461C0" w:rsidR="00A82AF7" w:rsidRDefault="00A82AF7" w:rsidP="00291F4A">
      <w:pPr>
        <w:jc w:val="both"/>
        <w:rPr>
          <w:lang w:val="en-GB" w:eastAsia="ja-JP"/>
        </w:rPr>
      </w:pPr>
      <w:r>
        <w:rPr>
          <w:lang w:val="en-GB" w:eastAsia="ja-JP"/>
        </w:rPr>
        <w:t>In the first agreement shown above there are two FFS:</w:t>
      </w:r>
    </w:p>
    <w:p w14:paraId="6EBAA058" w14:textId="77777777" w:rsidR="00B731C4" w:rsidRPr="00B731C4" w:rsidRDefault="00B731C4" w:rsidP="00A82AF7">
      <w:pPr>
        <w:numPr>
          <w:ilvl w:val="0"/>
          <w:numId w:val="19"/>
        </w:numPr>
        <w:tabs>
          <w:tab w:val="num" w:pos="1287"/>
        </w:tabs>
        <w:spacing w:after="0" w:line="240" w:lineRule="auto"/>
        <w:ind w:left="1834"/>
        <w:contextualSpacing/>
        <w:rPr>
          <w:rFonts w:ascii="Times New Roman" w:eastAsia="Times New Roman" w:hAnsi="Times New Roman" w:cs="Times New Roman"/>
          <w:szCs w:val="24"/>
        </w:rPr>
      </w:pPr>
      <w:r w:rsidRPr="00B731C4">
        <w:rPr>
          <w:rFonts w:ascii="Times" w:eastAsia="Batang" w:hAnsi="Times" w:cs="Times New Roman"/>
          <w:color w:val="000000"/>
          <w:kern w:val="24"/>
          <w:szCs w:val="20"/>
          <w:lang w:val="en-GB"/>
        </w:rPr>
        <w:t xml:space="preserve">Restriction of maximum X switch(es) within Y slot(s), </w:t>
      </w:r>
    </w:p>
    <w:p w14:paraId="08A64CF4" w14:textId="77777777" w:rsidR="00B731C4" w:rsidRPr="00B731C4" w:rsidRDefault="00B731C4" w:rsidP="00A82AF7">
      <w:pPr>
        <w:numPr>
          <w:ilvl w:val="1"/>
          <w:numId w:val="19"/>
        </w:numPr>
        <w:tabs>
          <w:tab w:val="num" w:pos="2007"/>
        </w:tabs>
        <w:spacing w:after="0" w:line="240" w:lineRule="auto"/>
        <w:ind w:left="3173"/>
        <w:contextualSpacing/>
        <w:rPr>
          <w:rFonts w:ascii="Times New Roman" w:eastAsia="Times New Roman" w:hAnsi="Times New Roman" w:cs="Times New Roman"/>
          <w:szCs w:val="24"/>
        </w:rPr>
      </w:pPr>
      <w:r w:rsidRPr="00B731C4">
        <w:rPr>
          <w:rFonts w:ascii="Times" w:eastAsia="Batang" w:hAnsi="Times" w:cs="Times New Roman"/>
          <w:color w:val="000000"/>
          <w:kern w:val="24"/>
          <w:szCs w:val="20"/>
          <w:lang w:val="en-GB"/>
        </w:rPr>
        <w:t xml:space="preserve">FFS: detailed value and relation of X and Y. </w:t>
      </w:r>
    </w:p>
    <w:p w14:paraId="6EE2DF37" w14:textId="77777777" w:rsidR="00B731C4" w:rsidRPr="00B731C4" w:rsidRDefault="00B731C4" w:rsidP="00A82AF7">
      <w:pPr>
        <w:numPr>
          <w:ilvl w:val="0"/>
          <w:numId w:val="19"/>
        </w:numPr>
        <w:tabs>
          <w:tab w:val="num" w:pos="1287"/>
        </w:tabs>
        <w:spacing w:after="0" w:line="240" w:lineRule="auto"/>
        <w:ind w:left="1834"/>
        <w:contextualSpacing/>
        <w:rPr>
          <w:rFonts w:ascii="Times New Roman" w:eastAsia="Times New Roman" w:hAnsi="Times New Roman" w:cs="Times New Roman"/>
          <w:szCs w:val="24"/>
        </w:rPr>
      </w:pPr>
      <w:r w:rsidRPr="00B731C4">
        <w:rPr>
          <w:rFonts w:ascii="Times" w:eastAsia="Batang" w:hAnsi="Times" w:cs="Times New Roman"/>
          <w:color w:val="000000"/>
          <w:kern w:val="24"/>
          <w:szCs w:val="20"/>
          <w:lang w:val="en-GB"/>
        </w:rPr>
        <w:t xml:space="preserve">FFS: other restriction </w:t>
      </w:r>
    </w:p>
    <w:p w14:paraId="48BF5207" w14:textId="77777777" w:rsidR="00A82AF7" w:rsidRDefault="00A82AF7" w:rsidP="00291F4A">
      <w:pPr>
        <w:jc w:val="both"/>
        <w:rPr>
          <w:lang w:val="en-GB" w:eastAsia="ja-JP"/>
        </w:rPr>
      </w:pPr>
    </w:p>
    <w:p w14:paraId="2C684D67" w14:textId="14FF7253" w:rsidR="00A82AF7" w:rsidRDefault="00A82AF7" w:rsidP="00291F4A">
      <w:pPr>
        <w:jc w:val="both"/>
        <w:rPr>
          <w:lang w:val="en-GB" w:eastAsia="ja-JP"/>
        </w:rPr>
      </w:pPr>
      <w:r>
        <w:rPr>
          <w:lang w:val="en-GB" w:eastAsia="ja-JP"/>
        </w:rPr>
        <w:t>G</w:t>
      </w:r>
      <w:r w:rsidR="005E6E8C">
        <w:rPr>
          <w:lang w:val="en-GB" w:eastAsia="ja-JP"/>
        </w:rPr>
        <w:t xml:space="preserve">enerally, our view is not to place restrictions on the switching pattern since the gNB </w:t>
      </w:r>
      <w:r>
        <w:rPr>
          <w:lang w:val="en-GB" w:eastAsia="ja-JP"/>
        </w:rPr>
        <w:t>scheduler must consider many aspects which requires quite a high degree of flexibility:</w:t>
      </w:r>
    </w:p>
    <w:p w14:paraId="1E94F853" w14:textId="77777777" w:rsidR="00A82AF7" w:rsidRPr="003E2746" w:rsidRDefault="00A82AF7" w:rsidP="00A82AF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Different DL load balancing ratios between the two carriers</w:t>
      </w:r>
      <w:r>
        <w:rPr>
          <w:rFonts w:ascii="Arial" w:hAnsi="Arial" w:cs="Arial"/>
          <w:sz w:val="20"/>
          <w:szCs w:val="20"/>
          <w:lang w:eastAsia="ja-JP"/>
        </w:rPr>
        <w:t xml:space="preserve"> (</w:t>
      </w:r>
      <w:r w:rsidRPr="00A802BA">
        <w:rPr>
          <w:rFonts w:ascii="Arial" w:hAnsi="Arial" w:cs="Arial"/>
          <w:sz w:val="20"/>
          <w:szCs w:val="20"/>
          <w:lang w:eastAsia="ja-JP"/>
        </w:rPr>
        <w:t>e.g., 50/50, 70/30,</w:t>
      </w:r>
      <w:r>
        <w:rPr>
          <w:rFonts w:ascii="Arial" w:hAnsi="Arial" w:cs="Arial"/>
          <w:sz w:val="20"/>
          <w:szCs w:val="20"/>
          <w:lang w:eastAsia="ja-JP"/>
        </w:rPr>
        <w:t xml:space="preserve"> 80/20,</w:t>
      </w:r>
      <w:r w:rsidRPr="00A802BA">
        <w:rPr>
          <w:rFonts w:ascii="Arial" w:hAnsi="Arial" w:cs="Arial"/>
          <w:sz w:val="20"/>
          <w:szCs w:val="20"/>
          <w:lang w:eastAsia="ja-JP"/>
        </w:rPr>
        <w:t xml:space="preserve"> etc.</w:t>
      </w:r>
      <w:r>
        <w:rPr>
          <w:rFonts w:ascii="Arial" w:hAnsi="Arial" w:cs="Arial"/>
          <w:sz w:val="20"/>
          <w:szCs w:val="20"/>
          <w:lang w:eastAsia="ja-JP"/>
        </w:rPr>
        <w:t xml:space="preserve">) depending on the </w:t>
      </w:r>
      <w:r w:rsidRPr="003E2746">
        <w:rPr>
          <w:rFonts w:ascii="Arial" w:hAnsi="Arial" w:cs="Arial"/>
          <w:sz w:val="20"/>
          <w:szCs w:val="20"/>
          <w:lang w:eastAsia="ja-JP"/>
        </w:rPr>
        <w:t>UL-DL traffic ratio</w:t>
      </w:r>
      <w:r>
        <w:rPr>
          <w:rFonts w:ascii="Arial" w:hAnsi="Arial" w:cs="Arial"/>
          <w:sz w:val="20"/>
          <w:szCs w:val="20"/>
          <w:lang w:eastAsia="ja-JP"/>
        </w:rPr>
        <w:t xml:space="preserve"> and the fraction of legacy UEs (pre-Rel-19) not capable of switching</w:t>
      </w:r>
    </w:p>
    <w:p w14:paraId="54074E5C" w14:textId="77777777" w:rsidR="00A82AF7" w:rsidRDefault="00A82AF7" w:rsidP="00A82AF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 xml:space="preserve">Different </w:t>
      </w:r>
      <w:r>
        <w:rPr>
          <w:rFonts w:ascii="Arial" w:hAnsi="Arial" w:cs="Arial"/>
          <w:sz w:val="20"/>
          <w:szCs w:val="20"/>
          <w:lang w:eastAsia="ja-JP"/>
        </w:rPr>
        <w:t>time locations of broadcast signals/channels (</w:t>
      </w:r>
      <w:r w:rsidRPr="00A802BA">
        <w:rPr>
          <w:rFonts w:ascii="Arial" w:hAnsi="Arial" w:cs="Arial"/>
          <w:sz w:val="20"/>
          <w:szCs w:val="20"/>
          <w:lang w:eastAsia="ja-JP"/>
        </w:rPr>
        <w:t>SSB</w:t>
      </w:r>
      <w:r>
        <w:rPr>
          <w:rFonts w:ascii="Arial" w:hAnsi="Arial" w:cs="Arial"/>
          <w:sz w:val="20"/>
          <w:szCs w:val="20"/>
          <w:lang w:eastAsia="ja-JP"/>
        </w:rPr>
        <w:t xml:space="preserve"> and </w:t>
      </w:r>
      <w:r w:rsidRPr="00A802BA">
        <w:rPr>
          <w:rFonts w:ascii="Arial" w:hAnsi="Arial" w:cs="Arial"/>
          <w:sz w:val="20"/>
          <w:szCs w:val="20"/>
          <w:lang w:eastAsia="ja-JP"/>
        </w:rPr>
        <w:t>SIB1</w:t>
      </w:r>
      <w:r>
        <w:rPr>
          <w:rFonts w:ascii="Arial" w:hAnsi="Arial" w:cs="Arial"/>
          <w:sz w:val="20"/>
          <w:szCs w:val="20"/>
          <w:lang w:eastAsia="ja-JP"/>
        </w:rPr>
        <w:t>)</w:t>
      </w:r>
    </w:p>
    <w:p w14:paraId="375600D4" w14:textId="77777777" w:rsidR="00A82AF7" w:rsidRPr="00817DDB" w:rsidRDefault="00A82AF7" w:rsidP="00A82AF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of DL reference signals (</w:t>
      </w:r>
      <w:r w:rsidRPr="00817DDB">
        <w:rPr>
          <w:rFonts w:cs="Arial"/>
          <w:szCs w:val="20"/>
          <w:lang w:eastAsia="ja-JP"/>
        </w:rPr>
        <w:t>CSI-RS</w:t>
      </w:r>
      <w:r>
        <w:rPr>
          <w:rFonts w:cs="Arial"/>
          <w:szCs w:val="20"/>
          <w:lang w:eastAsia="ja-JP"/>
        </w:rPr>
        <w:t xml:space="preserve"> a</w:t>
      </w:r>
      <w:r w:rsidRPr="00817DDB">
        <w:rPr>
          <w:rFonts w:cs="Arial"/>
          <w:szCs w:val="20"/>
          <w:lang w:eastAsia="ja-JP"/>
        </w:rPr>
        <w:t>nd TRS</w:t>
      </w:r>
      <w:r>
        <w:rPr>
          <w:rFonts w:cs="Arial"/>
          <w:szCs w:val="20"/>
          <w:lang w:eastAsia="ja-JP"/>
        </w:rPr>
        <w:t>)</w:t>
      </w:r>
    </w:p>
    <w:p w14:paraId="796AA3F2" w14:textId="77777777" w:rsidR="00A82AF7" w:rsidRDefault="00A82AF7" w:rsidP="00A82AF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Different settings for UL scheduling offset k2</w:t>
      </w:r>
    </w:p>
    <w:p w14:paraId="0B208071" w14:textId="77777777" w:rsidR="00A82AF7" w:rsidRPr="00A802BA" w:rsidRDefault="00A82AF7" w:rsidP="00A82AF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settings for PDSCH to HARQ timing k1</w:t>
      </w:r>
    </w:p>
    <w:p w14:paraId="78EC1689" w14:textId="77777777" w:rsidR="00A82AF7" w:rsidRDefault="00A82AF7" w:rsidP="00A82AF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for SR on PUCCH</w:t>
      </w:r>
    </w:p>
    <w:p w14:paraId="14297B69" w14:textId="77777777" w:rsidR="00A82AF7" w:rsidRPr="001E1678" w:rsidRDefault="00A82AF7" w:rsidP="00A82AF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for RACH occasions</w:t>
      </w:r>
    </w:p>
    <w:p w14:paraId="16702584" w14:textId="77777777" w:rsidR="00A82AF7" w:rsidRPr="00A802BA" w:rsidRDefault="00A82AF7" w:rsidP="00A82AF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etc.</w:t>
      </w:r>
    </w:p>
    <w:p w14:paraId="6312ACEF" w14:textId="77777777" w:rsidR="00A82AF7" w:rsidRDefault="00A82AF7" w:rsidP="00291F4A">
      <w:pPr>
        <w:jc w:val="both"/>
        <w:rPr>
          <w:lang w:val="en-GB" w:eastAsia="ja-JP"/>
        </w:rPr>
      </w:pPr>
    </w:p>
    <w:p w14:paraId="5E7016AF" w14:textId="620ED9D4" w:rsidR="00DB05F4" w:rsidRDefault="00EB409A" w:rsidP="00291F4A">
      <w:pPr>
        <w:jc w:val="both"/>
        <w:rPr>
          <w:lang w:val="en-GB" w:eastAsia="ja-JP"/>
        </w:rPr>
      </w:pPr>
      <w:r>
        <w:rPr>
          <w:lang w:val="en-GB" w:eastAsia="ja-JP"/>
        </w:rPr>
        <w:t>Further, b</w:t>
      </w:r>
      <w:r w:rsidR="008D3EFD" w:rsidRPr="008D3EFD">
        <w:rPr>
          <w:lang w:val="en-GB" w:eastAsia="ja-JP"/>
        </w:rPr>
        <w:t xml:space="preserve">ased on the </w:t>
      </w:r>
      <w:r w:rsidR="00DB05F4">
        <w:rPr>
          <w:lang w:val="en-GB" w:eastAsia="ja-JP"/>
        </w:rPr>
        <w:t xml:space="preserve">following note in an </w:t>
      </w:r>
      <w:r w:rsidR="008D3EFD" w:rsidRPr="008D3EFD">
        <w:rPr>
          <w:lang w:val="en-GB" w:eastAsia="ja-JP"/>
        </w:rPr>
        <w:t xml:space="preserve">agreement from the last </w:t>
      </w:r>
      <w:r w:rsidR="00DB05F4">
        <w:rPr>
          <w:lang w:val="en-GB" w:eastAsia="ja-JP"/>
        </w:rPr>
        <w:t xml:space="preserve">RAN1 </w:t>
      </w:r>
      <w:r w:rsidR="008D3EFD" w:rsidRPr="008D3EFD">
        <w:rPr>
          <w:lang w:val="en-GB" w:eastAsia="ja-JP"/>
        </w:rPr>
        <w:t>meeting</w:t>
      </w:r>
      <w:r w:rsidR="00DB05F4">
        <w:rPr>
          <w:lang w:val="en-GB" w:eastAsia="ja-JP"/>
        </w:rPr>
        <w:t xml:space="preserve"> (see Section 4.2)</w:t>
      </w:r>
    </w:p>
    <w:p w14:paraId="7CD78BE7" w14:textId="77777777" w:rsidR="00DB05F4" w:rsidRPr="00265DE5" w:rsidRDefault="00DB05F4" w:rsidP="00DB05F4">
      <w:pPr>
        <w:numPr>
          <w:ilvl w:val="0"/>
          <w:numId w:val="24"/>
        </w:numPr>
        <w:spacing w:after="0" w:line="240" w:lineRule="auto"/>
        <w:ind w:left="1282"/>
        <w:contextualSpacing/>
        <w:rPr>
          <w:rFonts w:ascii="Times" w:eastAsia="Batang" w:hAnsi="Times" w:cs="Times New Roman"/>
          <w:strike/>
          <w:color w:val="000000"/>
          <w:szCs w:val="24"/>
          <w:lang w:val="en-GB" w:eastAsia="x-none"/>
        </w:rPr>
      </w:pPr>
      <w:r w:rsidRPr="00265DE5">
        <w:rPr>
          <w:rFonts w:ascii="Times" w:eastAsia="Batang" w:hAnsi="Times" w:cs="Times New Roman"/>
          <w:color w:val="000000"/>
          <w:szCs w:val="24"/>
          <w:lang w:val="en-GB" w:eastAsia="x-none"/>
        </w:rPr>
        <w:t xml:space="preserve">Note: NW ensures that the switching gap is enough to cover at least the switching period as in RAN4 LS (R1-2501702) </w:t>
      </w:r>
      <w:r w:rsidRPr="00265DE5">
        <w:rPr>
          <w:rFonts w:ascii="Times" w:eastAsia="DengXian" w:hAnsi="Times" w:cs="Times New Roman" w:hint="eastAsia"/>
          <w:color w:val="000000"/>
          <w:szCs w:val="24"/>
          <w:lang w:val="en-GB" w:eastAsia="zh-CN"/>
        </w:rPr>
        <w:t>and UL TA (if needed)</w:t>
      </w:r>
    </w:p>
    <w:p w14:paraId="0E7A3AC6" w14:textId="4BBCABF3" w:rsidR="0046246D" w:rsidRDefault="008D3EFD" w:rsidP="00DB05F4">
      <w:pPr>
        <w:spacing w:before="160"/>
        <w:jc w:val="both"/>
        <w:rPr>
          <w:lang w:val="en-GB" w:eastAsia="ja-JP"/>
        </w:rPr>
      </w:pPr>
      <w:r w:rsidRPr="008D3EFD">
        <w:rPr>
          <w:lang w:val="en-GB" w:eastAsia="ja-JP"/>
        </w:rPr>
        <w:t xml:space="preserve">each switch results in a loss of 2 to 4 symbols. Therefore, we believe that any practical network implementation would avoid switching too frequently unless </w:t>
      </w:r>
      <w:proofErr w:type="gramStart"/>
      <w:r w:rsidRPr="008D3EFD">
        <w:rPr>
          <w:lang w:val="en-GB" w:eastAsia="ja-JP"/>
        </w:rPr>
        <w:t>absolutely necessary</w:t>
      </w:r>
      <w:proofErr w:type="gramEnd"/>
      <w:r w:rsidRPr="008D3EFD">
        <w:rPr>
          <w:lang w:val="en-GB" w:eastAsia="ja-JP"/>
        </w:rPr>
        <w:t xml:space="preserve">, as frequent switching incurs a significant cost. </w:t>
      </w:r>
      <w:r w:rsidR="00DB05F4">
        <w:rPr>
          <w:lang w:val="en-GB" w:eastAsia="ja-JP"/>
        </w:rPr>
        <w:t>Hence</w:t>
      </w:r>
      <w:r w:rsidRPr="008D3EFD">
        <w:rPr>
          <w:lang w:val="en-GB" w:eastAsia="ja-JP"/>
        </w:rPr>
        <w:t>, we do not expect the network to configure overly frequent switches. Our primary preference is to avoid specifying explicit values for X and Y.</w:t>
      </w:r>
    </w:p>
    <w:p w14:paraId="1BDD11A1" w14:textId="0D7D3CC4" w:rsidR="008D3EFD" w:rsidRDefault="008D3EFD" w:rsidP="00DB05F4">
      <w:pPr>
        <w:pStyle w:val="Proposal"/>
        <w:rPr>
          <w:lang w:val="en-GB"/>
        </w:rPr>
      </w:pPr>
      <w:bookmarkStart w:id="3" w:name="_Toc197695902"/>
      <w:r>
        <w:rPr>
          <w:lang w:val="en-GB"/>
        </w:rPr>
        <w:t>D</w:t>
      </w:r>
      <w:r w:rsidR="00DB05F4">
        <w:rPr>
          <w:lang w:val="en-GB"/>
        </w:rPr>
        <w:t>o</w:t>
      </w:r>
      <w:r>
        <w:rPr>
          <w:lang w:val="en-GB"/>
        </w:rPr>
        <w:t xml:space="preserve"> not </w:t>
      </w:r>
      <w:r w:rsidR="00DB05F4">
        <w:rPr>
          <w:lang w:val="en-GB"/>
        </w:rPr>
        <w:t xml:space="preserve">specify </w:t>
      </w:r>
      <w:r w:rsidR="00DB05F4">
        <w:rPr>
          <w:lang w:val="en-GB"/>
        </w:rPr>
        <w:t xml:space="preserve">the maximum number of switches X within </w:t>
      </w:r>
      <w:proofErr w:type="gramStart"/>
      <w:r w:rsidR="00DB05F4">
        <w:rPr>
          <w:lang w:val="en-GB"/>
        </w:rPr>
        <w:t>a time period</w:t>
      </w:r>
      <w:proofErr w:type="gramEnd"/>
      <w:r w:rsidR="00DB05F4">
        <w:rPr>
          <w:lang w:val="en-GB"/>
        </w:rPr>
        <w:t xml:space="preserve"> Y</w:t>
      </w:r>
      <w:bookmarkEnd w:id="3"/>
    </w:p>
    <w:p w14:paraId="31429117" w14:textId="0732A3C6" w:rsidR="005E6E8C" w:rsidRDefault="00DB05F4" w:rsidP="00291F4A">
      <w:pPr>
        <w:jc w:val="both"/>
        <w:rPr>
          <w:lang w:val="en-GB" w:eastAsia="ja-JP"/>
        </w:rPr>
      </w:pPr>
      <w:r>
        <w:rPr>
          <w:lang w:val="en-GB" w:eastAsia="ja-JP"/>
        </w:rPr>
        <w:t xml:space="preserve">While this is our primary preference, if an essential need </w:t>
      </w:r>
      <w:r w:rsidR="006B36E9">
        <w:rPr>
          <w:lang w:val="en-GB" w:eastAsia="ja-JP"/>
        </w:rPr>
        <w:t xml:space="preserve">is identified </w:t>
      </w:r>
      <w:r>
        <w:rPr>
          <w:lang w:val="en-GB" w:eastAsia="ja-JP"/>
        </w:rPr>
        <w:t xml:space="preserve">to </w:t>
      </w:r>
      <w:r w:rsidR="005E6E8C">
        <w:rPr>
          <w:lang w:val="en-GB" w:eastAsia="ja-JP"/>
        </w:rPr>
        <w:t xml:space="preserve">specify a maximum number of switches X within </w:t>
      </w:r>
      <w:proofErr w:type="gramStart"/>
      <w:r w:rsidR="005E6E8C">
        <w:rPr>
          <w:lang w:val="en-GB" w:eastAsia="ja-JP"/>
        </w:rPr>
        <w:t>a time period</w:t>
      </w:r>
      <w:proofErr w:type="gramEnd"/>
      <w:r w:rsidR="005E6E8C">
        <w:rPr>
          <w:lang w:val="en-GB" w:eastAsia="ja-JP"/>
        </w:rPr>
        <w:t xml:space="preserve"> Y, then we can be open to discuss this</w:t>
      </w:r>
      <w:r w:rsidR="00A82AF7">
        <w:rPr>
          <w:lang w:val="en-GB" w:eastAsia="ja-JP"/>
        </w:rPr>
        <w:t xml:space="preserve"> as long as X is not too small in relation to Y. If such a restriction is </w:t>
      </w:r>
      <w:r w:rsidR="00AA5061">
        <w:rPr>
          <w:lang w:val="en-GB" w:eastAsia="ja-JP"/>
        </w:rPr>
        <w:t>agreed</w:t>
      </w:r>
      <w:r w:rsidR="00A82AF7">
        <w:rPr>
          <w:lang w:val="en-GB" w:eastAsia="ja-JP"/>
        </w:rPr>
        <w:t xml:space="preserve">, </w:t>
      </w:r>
      <w:r w:rsidR="005E6E8C">
        <w:rPr>
          <w:lang w:val="en-GB" w:eastAsia="ja-JP"/>
        </w:rPr>
        <w:t xml:space="preserve">we </w:t>
      </w:r>
      <w:r w:rsidR="00A82AF7">
        <w:rPr>
          <w:lang w:val="en-GB" w:eastAsia="ja-JP"/>
        </w:rPr>
        <w:t xml:space="preserve">are quite reluctant to discuss other restrictions </w:t>
      </w:r>
      <w:r w:rsidR="005E6E8C">
        <w:rPr>
          <w:lang w:val="en-GB" w:eastAsia="ja-JP"/>
        </w:rPr>
        <w:t>on the switching pattern</w:t>
      </w:r>
      <w:r w:rsidR="00A82AF7">
        <w:rPr>
          <w:lang w:val="en-GB" w:eastAsia="ja-JP"/>
        </w:rPr>
        <w:t xml:space="preserve"> (the 2</w:t>
      </w:r>
      <w:r w:rsidR="00A82AF7" w:rsidRPr="00A82AF7">
        <w:rPr>
          <w:vertAlign w:val="superscript"/>
          <w:lang w:val="en-GB" w:eastAsia="ja-JP"/>
        </w:rPr>
        <w:t>nd</w:t>
      </w:r>
      <w:r w:rsidR="00A82AF7">
        <w:rPr>
          <w:lang w:val="en-GB" w:eastAsia="ja-JP"/>
        </w:rPr>
        <w:t xml:space="preserve"> FFS)</w:t>
      </w:r>
      <w:r w:rsidR="005E6E8C">
        <w:rPr>
          <w:lang w:val="en-GB" w:eastAsia="ja-JP"/>
        </w:rPr>
        <w:t xml:space="preserve"> since this </w:t>
      </w:r>
      <w:r w:rsidR="00A82AF7">
        <w:rPr>
          <w:lang w:val="en-GB" w:eastAsia="ja-JP"/>
        </w:rPr>
        <w:t xml:space="preserve">will reduce flexibility in the switch locations within the period which </w:t>
      </w:r>
      <w:r w:rsidR="00E45EB4">
        <w:rPr>
          <w:lang w:val="en-GB" w:eastAsia="ja-JP"/>
        </w:rPr>
        <w:t>is problematic from a scheduling perspective</w:t>
      </w:r>
      <w:r w:rsidR="00A82AF7">
        <w:rPr>
          <w:lang w:val="en-GB" w:eastAsia="ja-JP"/>
        </w:rPr>
        <w:t>.</w:t>
      </w:r>
    </w:p>
    <w:p w14:paraId="0AD7A606" w14:textId="3CEFF98C" w:rsidR="00A82AF7" w:rsidRDefault="00E45EB4" w:rsidP="00A82AF7">
      <w:pPr>
        <w:jc w:val="both"/>
        <w:rPr>
          <w:lang w:val="en-GB" w:eastAsia="ja-JP"/>
        </w:rPr>
      </w:pPr>
      <w:r>
        <w:rPr>
          <w:rFonts w:cs="Arial"/>
          <w:szCs w:val="20"/>
          <w:lang w:val="en-GB" w:eastAsia="ja-JP"/>
        </w:rPr>
        <w:t>In the exemplary switch patterns in</w:t>
      </w:r>
      <w:r w:rsidR="00A82AF7">
        <w:rPr>
          <w:rFonts w:cs="Arial"/>
          <w:szCs w:val="20"/>
          <w:lang w:val="en-GB" w:eastAsia="ja-JP"/>
        </w:rPr>
        <w:t xml:space="preserve"> </w:t>
      </w:r>
      <w:r w:rsidR="00A82AF7">
        <w:rPr>
          <w:lang w:val="en-GB" w:eastAsia="ja-JP"/>
        </w:rPr>
        <w:fldChar w:fldCharType="begin"/>
      </w:r>
      <w:r w:rsidR="00A82AF7">
        <w:rPr>
          <w:lang w:val="en-GB" w:eastAsia="ja-JP"/>
        </w:rPr>
        <w:instrText xml:space="preserve"> REF _Ref193824589 \h </w:instrText>
      </w:r>
      <w:r w:rsidR="00A82AF7">
        <w:rPr>
          <w:lang w:val="en-GB" w:eastAsia="ja-JP"/>
        </w:rPr>
      </w:r>
      <w:r w:rsidR="00A82AF7">
        <w:rPr>
          <w:lang w:val="en-GB" w:eastAsia="ja-JP"/>
        </w:rPr>
        <w:fldChar w:fldCharType="separate"/>
      </w:r>
      <w:r w:rsidR="00A82AF7">
        <w:t xml:space="preserve">Figure </w:t>
      </w:r>
      <w:r w:rsidR="00A82AF7">
        <w:rPr>
          <w:noProof/>
        </w:rPr>
        <w:t>2</w:t>
      </w:r>
      <w:r w:rsidR="00A82AF7">
        <w:rPr>
          <w:lang w:val="en-GB" w:eastAsia="ja-JP"/>
        </w:rPr>
        <w:fldChar w:fldCharType="end"/>
      </w:r>
      <w:r w:rsidR="00A82AF7">
        <w:rPr>
          <w:lang w:val="en-GB" w:eastAsia="ja-JP"/>
        </w:rPr>
        <w:t xml:space="preserve">, there are </w:t>
      </w:r>
      <w:proofErr w:type="spellStart"/>
      <w:r w:rsidR="00A82AF7">
        <w:rPr>
          <w:lang w:val="en-GB" w:eastAsia="ja-JP"/>
        </w:rPr>
        <w:t>are</w:t>
      </w:r>
      <w:proofErr w:type="spellEnd"/>
      <w:r w:rsidR="00A82AF7">
        <w:rPr>
          <w:lang w:val="en-GB" w:eastAsia="ja-JP"/>
        </w:rPr>
        <w:t xml:space="preserve"> a different number of switches within the 40 ms period for each of the user groups. For User Group #1, there are 7 switches within 40 ms (8 if one considers that there is a switch back to the FDD carrier at the end of the 40 ms period). In contrast, there are 6 switches for User Group #1.</w:t>
      </w:r>
      <w:r>
        <w:rPr>
          <w:lang w:val="en-GB" w:eastAsia="ja-JP"/>
        </w:rPr>
        <w:t xml:space="preserve"> </w:t>
      </w:r>
      <w:r w:rsidR="00A82AF7">
        <w:rPr>
          <w:lang w:val="en-GB" w:eastAsia="ja-JP"/>
        </w:rPr>
        <w:t xml:space="preserve">We note that </w:t>
      </w:r>
      <w:r>
        <w:rPr>
          <w:lang w:val="en-GB" w:eastAsia="ja-JP"/>
        </w:rPr>
        <w:t xml:space="preserve">this example </w:t>
      </w:r>
      <w:r w:rsidR="00A82AF7">
        <w:rPr>
          <w:lang w:val="en-GB" w:eastAsia="ja-JP"/>
        </w:rPr>
        <w:t>may be optimistic in that we did not consider SR periodicity which will require all users to switch back to the FDD carrier during configured SR occasions. RACH is another consideration.</w:t>
      </w:r>
    </w:p>
    <w:p w14:paraId="621B0323" w14:textId="2F34AACB" w:rsidR="00E45EB4" w:rsidRDefault="00F45B70" w:rsidP="00291F4A">
      <w:pPr>
        <w:jc w:val="both"/>
        <w:rPr>
          <w:lang w:val="en-GB" w:eastAsia="ja-JP"/>
        </w:rPr>
      </w:pPr>
      <w:r>
        <w:rPr>
          <w:lang w:val="en-GB" w:eastAsia="ja-JP"/>
        </w:rPr>
        <w:t xml:space="preserve">One approach could be to define the </w:t>
      </w:r>
      <w:proofErr w:type="gramStart"/>
      <w:r>
        <w:rPr>
          <w:lang w:val="en-GB" w:eastAsia="ja-JP"/>
        </w:rPr>
        <w:t>time period</w:t>
      </w:r>
      <w:proofErr w:type="gramEnd"/>
      <w:r>
        <w:rPr>
          <w:lang w:val="en-GB" w:eastAsia="ja-JP"/>
        </w:rPr>
        <w:t xml:space="preserve"> Y </w:t>
      </w:r>
      <w:r w:rsidR="00E45EB4">
        <w:rPr>
          <w:lang w:val="en-GB" w:eastAsia="ja-JP"/>
        </w:rPr>
        <w:t xml:space="preserve">to be equal to the pattern periodicity, </w:t>
      </w:r>
      <w:proofErr w:type="spellStart"/>
      <w:r w:rsidR="00E45EB4">
        <w:rPr>
          <w:lang w:val="en-GB" w:eastAsia="ja-JP"/>
        </w:rPr>
        <w:t>i.e</w:t>
      </w:r>
      <w:proofErr w:type="spellEnd"/>
      <w:r w:rsidR="00E45EB4">
        <w:rPr>
          <w:lang w:val="en-GB" w:eastAsia="ja-JP"/>
        </w:rPr>
        <w:t xml:space="preserve"> Y = 40</w:t>
      </w:r>
      <w:r>
        <w:rPr>
          <w:lang w:val="en-GB" w:eastAsia="ja-JP"/>
        </w:rPr>
        <w:t xml:space="preserve">. </w:t>
      </w:r>
      <w:r w:rsidR="00E45EB4">
        <w:rPr>
          <w:lang w:val="en-GB" w:eastAsia="ja-JP"/>
        </w:rPr>
        <w:t>Then</w:t>
      </w:r>
      <w:r>
        <w:rPr>
          <w:lang w:val="en-GB" w:eastAsia="ja-JP"/>
        </w:rPr>
        <w:t xml:space="preserve"> it </w:t>
      </w:r>
      <w:r w:rsidR="00E45EB4">
        <w:rPr>
          <w:lang w:val="en-GB" w:eastAsia="ja-JP"/>
        </w:rPr>
        <w:t>can be</w:t>
      </w:r>
      <w:r>
        <w:rPr>
          <w:lang w:val="en-GB" w:eastAsia="ja-JP"/>
        </w:rPr>
        <w:t xml:space="preserve"> </w:t>
      </w:r>
      <w:r w:rsidR="00E45EB4">
        <w:rPr>
          <w:lang w:val="en-GB" w:eastAsia="ja-JP"/>
        </w:rPr>
        <w:t>discussed</w:t>
      </w:r>
      <w:r>
        <w:rPr>
          <w:lang w:val="en-GB" w:eastAsia="ja-JP"/>
        </w:rPr>
        <w:t xml:space="preserve"> what X should be. </w:t>
      </w:r>
      <w:r w:rsidR="00E45EB4">
        <w:rPr>
          <w:lang w:val="en-GB" w:eastAsia="ja-JP"/>
        </w:rPr>
        <w:t>As we mention above, we prefer that X is not too small in relation to Y. Given that our example pattern with 8 switches is on the conservative side we think that maybe X = 10 could be reasonable.</w:t>
      </w:r>
    </w:p>
    <w:p w14:paraId="57C5530F" w14:textId="3DB5144E" w:rsidR="00F45B70" w:rsidRDefault="006B36E9" w:rsidP="00F45B70">
      <w:pPr>
        <w:pStyle w:val="Proposal"/>
        <w:rPr>
          <w:lang w:val="en-GB"/>
        </w:rPr>
      </w:pPr>
      <w:bookmarkStart w:id="4" w:name="_Toc197695903"/>
      <w:r>
        <w:rPr>
          <w:lang w:val="en-GB"/>
        </w:rPr>
        <w:t>If</w:t>
      </w:r>
      <w:r w:rsidR="005B3E4D">
        <w:rPr>
          <w:lang w:val="en-GB"/>
        </w:rPr>
        <w:t xml:space="preserve"> it is needed to specify </w:t>
      </w:r>
      <w:r w:rsidR="00F45B70">
        <w:rPr>
          <w:lang w:val="en-GB"/>
        </w:rPr>
        <w:t xml:space="preserve">the </w:t>
      </w:r>
      <w:r w:rsidR="005B3E4D">
        <w:rPr>
          <w:lang w:val="en-GB"/>
        </w:rPr>
        <w:t xml:space="preserve">maximum </w:t>
      </w:r>
      <w:r w:rsidR="00F45B70">
        <w:rPr>
          <w:lang w:val="en-GB"/>
        </w:rPr>
        <w:t xml:space="preserve">number of switches </w:t>
      </w:r>
      <w:r w:rsidR="007227EA">
        <w:rPr>
          <w:lang w:val="en-GB"/>
        </w:rPr>
        <w:t xml:space="preserve">X </w:t>
      </w:r>
      <w:r w:rsidR="00F45B70">
        <w:rPr>
          <w:lang w:val="en-GB"/>
        </w:rPr>
        <w:t xml:space="preserve">within </w:t>
      </w:r>
      <w:proofErr w:type="gramStart"/>
      <w:r w:rsidR="00F45B70">
        <w:rPr>
          <w:lang w:val="en-GB"/>
        </w:rPr>
        <w:t>a time period</w:t>
      </w:r>
      <w:proofErr w:type="gramEnd"/>
      <w:r w:rsidR="00F45B70">
        <w:rPr>
          <w:lang w:val="en-GB"/>
        </w:rPr>
        <w:t xml:space="preserve"> </w:t>
      </w:r>
      <w:r w:rsidR="007227EA">
        <w:rPr>
          <w:lang w:val="en-GB"/>
        </w:rPr>
        <w:t>Y</w:t>
      </w:r>
      <w:r w:rsidR="005B3E4D">
        <w:rPr>
          <w:lang w:val="en-GB"/>
        </w:rPr>
        <w:t xml:space="preserve">, </w:t>
      </w:r>
      <w:r w:rsidR="00F45B70">
        <w:rPr>
          <w:lang w:val="en-GB"/>
        </w:rPr>
        <w:t xml:space="preserve">then </w:t>
      </w:r>
      <w:r w:rsidR="00E45EB4">
        <w:rPr>
          <w:lang w:val="en-GB"/>
        </w:rPr>
        <w:t xml:space="preserve">support Y = 40 (equal to </w:t>
      </w:r>
      <w:r>
        <w:rPr>
          <w:lang w:val="en-GB"/>
        </w:rPr>
        <w:t xml:space="preserve">the 40 ms </w:t>
      </w:r>
      <w:r w:rsidR="00E45EB4">
        <w:rPr>
          <w:lang w:val="en-GB"/>
        </w:rPr>
        <w:t>pattern period) and support X to be no less than X = 10.</w:t>
      </w:r>
      <w:bookmarkEnd w:id="4"/>
    </w:p>
    <w:p w14:paraId="5B101296" w14:textId="2A347862" w:rsidR="005E6E8C" w:rsidRDefault="005E6E8C" w:rsidP="00F45B70">
      <w:pPr>
        <w:pStyle w:val="Proposal"/>
        <w:rPr>
          <w:lang w:val="en-GB"/>
        </w:rPr>
      </w:pPr>
      <w:bookmarkStart w:id="5" w:name="_Toc197695904"/>
      <w:r>
        <w:rPr>
          <w:lang w:val="en-GB"/>
        </w:rPr>
        <w:t>Do not specify other</w:t>
      </w:r>
      <w:r w:rsidR="00E45EB4">
        <w:rPr>
          <w:lang w:val="en-GB"/>
        </w:rPr>
        <w:t xml:space="preserve"> restrictions on the switching pattern.</w:t>
      </w:r>
      <w:bookmarkEnd w:id="5"/>
      <w:r>
        <w:rPr>
          <w:lang w:val="en-GB"/>
        </w:rPr>
        <w:t xml:space="preserve"> </w:t>
      </w:r>
    </w:p>
    <w:p w14:paraId="34C5E969" w14:textId="1AF231A7" w:rsidR="00C90120" w:rsidRDefault="00265DE5" w:rsidP="00B731C4">
      <w:pPr>
        <w:pStyle w:val="Heading1"/>
      </w:pPr>
      <w:r>
        <w:lastRenderedPageBreak/>
        <w:t>4</w:t>
      </w:r>
      <w:r w:rsidR="00C90120">
        <w:tab/>
        <w:t>Switching Location within a Slot</w:t>
      </w:r>
    </w:p>
    <w:p w14:paraId="4C12A0C2" w14:textId="11005F13" w:rsidR="00866982" w:rsidRDefault="00866982" w:rsidP="00664A93">
      <w:pPr>
        <w:jc w:val="both"/>
        <w:rPr>
          <w:lang w:val="en-GB" w:eastAsia="ja-JP"/>
        </w:rPr>
      </w:pPr>
      <w:r>
        <w:rPr>
          <w:lang w:val="en-GB" w:eastAsia="ja-JP"/>
        </w:rPr>
        <w:t>For discussion on the switching location in both frequency and time and the impact of timing advance (TA), it is helpful to refer to the following diagram:</w:t>
      </w:r>
    </w:p>
    <w:p w14:paraId="2F7C7830" w14:textId="77777777" w:rsidR="00866982" w:rsidRDefault="00866982" w:rsidP="00866982">
      <w:pPr>
        <w:keepNext/>
        <w:jc w:val="center"/>
      </w:pPr>
      <w:r>
        <w:rPr>
          <w:noProof/>
          <w:lang w:val="en-GB" w:eastAsia="ja-JP"/>
        </w:rPr>
        <w:drawing>
          <wp:inline distT="0" distB="0" distL="0" distR="0" wp14:anchorId="5EB5FEB9" wp14:editId="19609B61">
            <wp:extent cx="5486400" cy="3163824"/>
            <wp:effectExtent l="0" t="0" r="0" b="0"/>
            <wp:docPr id="2140111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3163824"/>
                    </a:xfrm>
                    <a:prstGeom prst="rect">
                      <a:avLst/>
                    </a:prstGeom>
                    <a:noFill/>
                  </pic:spPr>
                </pic:pic>
              </a:graphicData>
            </a:graphic>
          </wp:inline>
        </w:drawing>
      </w:r>
    </w:p>
    <w:p w14:paraId="5C461EC1" w14:textId="13E3C832" w:rsidR="00866982" w:rsidRDefault="00866982" w:rsidP="00866982">
      <w:pPr>
        <w:pStyle w:val="Caption"/>
        <w:jc w:val="center"/>
        <w:rPr>
          <w:lang w:val="en-GB" w:eastAsia="ja-JP"/>
        </w:rPr>
      </w:pPr>
      <w:bookmarkStart w:id="6" w:name="_Ref197444642"/>
      <w:r>
        <w:t xml:space="preserve">Figure </w:t>
      </w:r>
      <w:r>
        <w:fldChar w:fldCharType="begin"/>
      </w:r>
      <w:r>
        <w:instrText xml:space="preserve"> SEQ Figure \* ARABIC </w:instrText>
      </w:r>
      <w:r>
        <w:fldChar w:fldCharType="separate"/>
      </w:r>
      <w:r>
        <w:rPr>
          <w:noProof/>
        </w:rPr>
        <w:t>3</w:t>
      </w:r>
      <w:r>
        <w:fldChar w:fldCharType="end"/>
      </w:r>
      <w:bookmarkEnd w:id="6"/>
      <w:r>
        <w:t xml:space="preserve">: Illustration of switching locations in both frequency and time </w:t>
      </w:r>
      <w:r w:rsidR="00265DE5">
        <w:t xml:space="preserve">for </w:t>
      </w:r>
      <w:r>
        <w:t xml:space="preserve">both FDD </w:t>
      </w:r>
      <w:r>
        <w:sym w:font="Wingdings" w:char="F0E8"/>
      </w:r>
      <w:r>
        <w:t xml:space="preserve"> SDL switch and SDL </w:t>
      </w:r>
      <w:r>
        <w:sym w:font="Wingdings" w:char="F0E8"/>
      </w:r>
      <w:r>
        <w:t xml:space="preserve"> FDD switch including the effect of timing advance (TA). Note </w:t>
      </w:r>
      <w:r w:rsidR="008638E6">
        <w:t>that the 1-slot dwell time on the SDL carrier is used only for illustration purposes to enable a compact diagram.</w:t>
      </w:r>
    </w:p>
    <w:p w14:paraId="33531105" w14:textId="32E22142" w:rsidR="00866982" w:rsidRDefault="00265DE5" w:rsidP="00265DE5">
      <w:pPr>
        <w:pStyle w:val="Heading2"/>
      </w:pPr>
      <w:r>
        <w:t>4.1</w:t>
      </w:r>
      <w:r>
        <w:tab/>
        <w:t>Frequency location of Switching Gap</w:t>
      </w:r>
    </w:p>
    <w:p w14:paraId="417DCD7A" w14:textId="0AA74F38" w:rsidR="00265DE5" w:rsidRPr="00866982" w:rsidRDefault="00265DE5" w:rsidP="00265DE5">
      <w:pPr>
        <w:jc w:val="both"/>
        <w:rPr>
          <w:lang w:eastAsia="ja-JP"/>
        </w:rPr>
      </w:pPr>
      <w:r>
        <w:rPr>
          <w:lang w:eastAsia="ja-JP"/>
        </w:rPr>
        <w:t>In RAN1#120bis, the following agreement w</w:t>
      </w:r>
      <w:r w:rsidR="005B3E4D">
        <w:rPr>
          <w:lang w:eastAsia="ja-JP"/>
        </w:rPr>
        <w:t>as</w:t>
      </w:r>
      <w:r>
        <w:rPr>
          <w:lang w:eastAsia="ja-JP"/>
        </w:rPr>
        <w:t xml:space="preserve"> made regarding the </w:t>
      </w:r>
      <w:r w:rsidR="005B3E4D">
        <w:rPr>
          <w:lang w:eastAsia="ja-JP"/>
        </w:rPr>
        <w:t xml:space="preserve">frequency </w:t>
      </w:r>
      <w:r>
        <w:rPr>
          <w:lang w:eastAsia="ja-JP"/>
        </w:rPr>
        <w:t>location of the switching gap</w:t>
      </w:r>
      <w:r w:rsidR="005B3E4D">
        <w:rPr>
          <w:lang w:eastAsia="ja-JP"/>
        </w:rPr>
        <w:t>, i.e., carrier on which the switching gap is assumed:</w:t>
      </w:r>
    </w:p>
    <w:p w14:paraId="1240964B" w14:textId="77777777" w:rsidR="00265DE5" w:rsidRPr="00265DE5" w:rsidRDefault="00265DE5" w:rsidP="00265DE5">
      <w:pPr>
        <w:spacing w:after="0" w:line="240" w:lineRule="auto"/>
        <w:ind w:left="567"/>
        <w:rPr>
          <w:rFonts w:ascii="Times" w:eastAsia="DengXian" w:hAnsi="Times" w:cs="Times New Roman"/>
          <w:szCs w:val="24"/>
          <w:highlight w:val="green"/>
          <w:lang w:val="en-GB" w:eastAsia="zh-CN"/>
        </w:rPr>
      </w:pPr>
      <w:r w:rsidRPr="00265DE5">
        <w:rPr>
          <w:rFonts w:ascii="Times" w:eastAsia="DengXian" w:hAnsi="Times" w:cs="Times New Roman" w:hint="eastAsia"/>
          <w:szCs w:val="24"/>
          <w:highlight w:val="green"/>
          <w:lang w:val="en-GB" w:eastAsia="zh-CN"/>
        </w:rPr>
        <w:t>Agreement</w:t>
      </w:r>
    </w:p>
    <w:p w14:paraId="52D26DF9" w14:textId="77777777" w:rsidR="00265DE5" w:rsidRPr="00265DE5" w:rsidRDefault="00265DE5" w:rsidP="00265DE5">
      <w:pPr>
        <w:spacing w:after="0" w:line="240" w:lineRule="auto"/>
        <w:ind w:left="567"/>
        <w:contextualSpacing/>
        <w:rPr>
          <w:rFonts w:ascii="Times" w:eastAsia="Batang" w:hAnsi="Times" w:cs="Times New Roman"/>
          <w:color w:val="000000"/>
          <w:szCs w:val="24"/>
          <w:lang w:val="en-GB"/>
        </w:rPr>
      </w:pPr>
      <w:r w:rsidRPr="00265DE5">
        <w:rPr>
          <w:rFonts w:ascii="Times" w:eastAsia="Batang" w:hAnsi="Times" w:cs="Times New Roman"/>
          <w:color w:val="000000"/>
          <w:szCs w:val="24"/>
          <w:lang w:val="en-GB"/>
        </w:rPr>
        <w:t xml:space="preserve">For RRC configuration of semi-static switching pattern in Rel-19 low NR band carrier aggregation via switching, regarding the location of the switching gap, </w:t>
      </w:r>
    </w:p>
    <w:p w14:paraId="6DD1C22B" w14:textId="77777777" w:rsidR="00265DE5" w:rsidRPr="00265DE5" w:rsidRDefault="00265DE5" w:rsidP="00265DE5">
      <w:pPr>
        <w:numPr>
          <w:ilvl w:val="0"/>
          <w:numId w:val="23"/>
        </w:numPr>
        <w:spacing w:after="120" w:line="240" w:lineRule="auto"/>
        <w:ind w:left="128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eastAsia="zh-CN"/>
        </w:rPr>
        <w:t>For switching from SDL carrier to FDD carrier, the switching gap is always assumed at the “switch from” carrier, i.e., SDL carrier.</w:t>
      </w:r>
    </w:p>
    <w:p w14:paraId="2312EE39" w14:textId="77777777" w:rsidR="00265DE5" w:rsidRPr="00265DE5" w:rsidRDefault="00265DE5" w:rsidP="00265DE5">
      <w:pPr>
        <w:numPr>
          <w:ilvl w:val="0"/>
          <w:numId w:val="23"/>
        </w:numPr>
        <w:spacing w:after="120" w:line="240" w:lineRule="auto"/>
        <w:ind w:left="128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 xml:space="preserve">For switching from FDD carrier to SDL carrier, </w:t>
      </w:r>
      <w:proofErr w:type="spellStart"/>
      <w:r w:rsidRPr="00265DE5">
        <w:rPr>
          <w:rFonts w:ascii="Times" w:eastAsia="Batang" w:hAnsi="Times" w:cs="Times New Roman"/>
          <w:color w:val="000000"/>
          <w:szCs w:val="24"/>
          <w:lang w:val="en-GB" w:eastAsia="x-none"/>
        </w:rPr>
        <w:t>downselect</w:t>
      </w:r>
      <w:proofErr w:type="spellEnd"/>
      <w:r w:rsidRPr="00265DE5">
        <w:rPr>
          <w:rFonts w:ascii="Times" w:eastAsia="Batang" w:hAnsi="Times" w:cs="Times New Roman"/>
          <w:color w:val="000000"/>
          <w:szCs w:val="24"/>
          <w:lang w:val="en-GB" w:eastAsia="x-none"/>
        </w:rPr>
        <w:t xml:space="preserve"> one of the following solutions </w:t>
      </w:r>
    </w:p>
    <w:p w14:paraId="2849CB43" w14:textId="77777777" w:rsidR="00265DE5" w:rsidRPr="00265DE5" w:rsidRDefault="00265DE5" w:rsidP="00265DE5">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1: Switching gap is always assumed at the “switch from” carrier, i.e., FDD carrier</w:t>
      </w:r>
    </w:p>
    <w:p w14:paraId="320798EA" w14:textId="77777777" w:rsidR="00265DE5" w:rsidRPr="00265DE5" w:rsidRDefault="00265DE5" w:rsidP="00265DE5">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2: NW configures whether the switching gap is at the FDD carrier or SDL carrier</w:t>
      </w:r>
    </w:p>
    <w:p w14:paraId="68821F19" w14:textId="77777777" w:rsidR="00265DE5" w:rsidRPr="00265DE5" w:rsidRDefault="00265DE5" w:rsidP="00265DE5">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3: Switching gap is always assumed at the SDL carrier</w:t>
      </w:r>
    </w:p>
    <w:p w14:paraId="62EFF6F8" w14:textId="77777777" w:rsidR="00265DE5" w:rsidRDefault="00265DE5" w:rsidP="00265DE5">
      <w:pPr>
        <w:jc w:val="both"/>
        <w:rPr>
          <w:lang w:eastAsia="ja-JP"/>
        </w:rPr>
      </w:pPr>
    </w:p>
    <w:p w14:paraId="50B36D19" w14:textId="177BE48D" w:rsidR="005B3E4D" w:rsidRDefault="00265DE5" w:rsidP="00265DE5">
      <w:pPr>
        <w:jc w:val="both"/>
        <w:rPr>
          <w:lang w:eastAsia="ja-JP"/>
        </w:rPr>
      </w:pPr>
      <w:r>
        <w:rPr>
          <w:lang w:eastAsia="ja-JP"/>
        </w:rPr>
        <w:t xml:space="preserve">The only open issue in this agreement is the frequency location of the switching gap for the FDD </w:t>
      </w:r>
      <w:r>
        <w:rPr>
          <w:lang w:eastAsia="ja-JP"/>
        </w:rPr>
        <w:sym w:font="Wingdings" w:char="F0E8"/>
      </w:r>
      <w:r>
        <w:rPr>
          <w:lang w:eastAsia="ja-JP"/>
        </w:rPr>
        <w:t xml:space="preserve"> SDL direction. In our view, the switching gap for th</w:t>
      </w:r>
      <w:r w:rsidR="008638E6">
        <w:rPr>
          <w:lang w:eastAsia="ja-JP"/>
        </w:rPr>
        <w:t>is direction</w:t>
      </w:r>
      <w:r>
        <w:rPr>
          <w:lang w:eastAsia="ja-JP"/>
        </w:rPr>
        <w:t xml:space="preserve"> should be on the “switch from” carrier just like for the SDL </w:t>
      </w:r>
      <w:r>
        <w:rPr>
          <w:lang w:eastAsia="ja-JP"/>
        </w:rPr>
        <w:sym w:font="Wingdings" w:char="F0E8"/>
      </w:r>
      <w:r>
        <w:rPr>
          <w:lang w:eastAsia="ja-JP"/>
        </w:rPr>
        <w:t xml:space="preserve"> FDD switch</w:t>
      </w:r>
      <w:r w:rsidR="008638E6">
        <w:rPr>
          <w:lang w:eastAsia="ja-JP"/>
        </w:rPr>
        <w:t xml:space="preserve"> direction</w:t>
      </w:r>
      <w:r w:rsidR="005B3E4D">
        <w:rPr>
          <w:lang w:eastAsia="ja-JP"/>
        </w:rPr>
        <w:t xml:space="preserve">. This corresponds to </w:t>
      </w:r>
      <w:r>
        <w:rPr>
          <w:lang w:eastAsia="ja-JP"/>
        </w:rPr>
        <w:t>Alt-1 in the above agreement</w:t>
      </w:r>
      <w:r w:rsidR="008638E6">
        <w:rPr>
          <w:lang w:eastAsia="ja-JP"/>
        </w:rPr>
        <w:t xml:space="preserve"> and is </w:t>
      </w:r>
      <w:r w:rsidR="005B3E4D">
        <w:rPr>
          <w:lang w:eastAsia="ja-JP"/>
        </w:rPr>
        <w:t xml:space="preserve">illustrated in </w:t>
      </w:r>
      <w:r w:rsidR="005B3E4D">
        <w:rPr>
          <w:lang w:eastAsia="ja-JP"/>
        </w:rPr>
        <w:fldChar w:fldCharType="begin"/>
      </w:r>
      <w:r w:rsidR="005B3E4D">
        <w:rPr>
          <w:lang w:eastAsia="ja-JP"/>
        </w:rPr>
        <w:instrText xml:space="preserve"> REF _Ref197444642 \h </w:instrText>
      </w:r>
      <w:r w:rsidR="005B3E4D">
        <w:rPr>
          <w:lang w:eastAsia="ja-JP"/>
        </w:rPr>
      </w:r>
      <w:r w:rsidR="005B3E4D">
        <w:rPr>
          <w:lang w:eastAsia="ja-JP"/>
        </w:rPr>
        <w:fldChar w:fldCharType="separate"/>
      </w:r>
      <w:r w:rsidR="005B3E4D">
        <w:t xml:space="preserve">Figure </w:t>
      </w:r>
      <w:r w:rsidR="005B3E4D">
        <w:rPr>
          <w:noProof/>
        </w:rPr>
        <w:t>3</w:t>
      </w:r>
      <w:r w:rsidR="005B3E4D">
        <w:rPr>
          <w:lang w:eastAsia="ja-JP"/>
        </w:rPr>
        <w:fldChar w:fldCharType="end"/>
      </w:r>
      <w:r w:rsidR="005B3E4D">
        <w:rPr>
          <w:lang w:eastAsia="ja-JP"/>
        </w:rPr>
        <w:t>.</w:t>
      </w:r>
      <w:r>
        <w:rPr>
          <w:lang w:eastAsia="ja-JP"/>
        </w:rPr>
        <w:t xml:space="preserve"> </w:t>
      </w:r>
      <w:r w:rsidR="008638E6">
        <w:rPr>
          <w:lang w:eastAsia="ja-JP"/>
        </w:rPr>
        <w:t xml:space="preserve">Our preference for Alt-1 </w:t>
      </w:r>
      <w:r>
        <w:rPr>
          <w:lang w:eastAsia="ja-JP"/>
        </w:rPr>
        <w:t>is that we want to avoid a collision of the PDCCH on the SDL carrier with the switching gap</w:t>
      </w:r>
      <w:r w:rsidR="005B3E4D">
        <w:rPr>
          <w:lang w:eastAsia="ja-JP"/>
        </w:rPr>
        <w:t xml:space="preserve">. This is important </w:t>
      </w:r>
      <w:r>
        <w:rPr>
          <w:lang w:eastAsia="ja-JP"/>
        </w:rPr>
        <w:t xml:space="preserve">since the </w:t>
      </w:r>
      <w:r w:rsidR="008638E6">
        <w:rPr>
          <w:lang w:eastAsia="ja-JP"/>
        </w:rPr>
        <w:t>baseline</w:t>
      </w:r>
      <w:r>
        <w:rPr>
          <w:lang w:eastAsia="ja-JP"/>
        </w:rPr>
        <w:t xml:space="preserve"> </w:t>
      </w:r>
      <w:r w:rsidR="008638E6">
        <w:rPr>
          <w:lang w:eastAsia="ja-JP"/>
        </w:rPr>
        <w:t xml:space="preserve">mode of operation of the </w:t>
      </w:r>
      <w:r>
        <w:rPr>
          <w:lang w:eastAsia="ja-JP"/>
        </w:rPr>
        <w:t>network</w:t>
      </w:r>
      <w:r w:rsidR="008638E6">
        <w:rPr>
          <w:lang w:eastAsia="ja-JP"/>
        </w:rPr>
        <w:t xml:space="preserve"> </w:t>
      </w:r>
      <w:r>
        <w:rPr>
          <w:lang w:eastAsia="ja-JP"/>
        </w:rPr>
        <w:t xml:space="preserve">and </w:t>
      </w:r>
      <w:r w:rsidR="008638E6">
        <w:rPr>
          <w:lang w:eastAsia="ja-JP"/>
        </w:rPr>
        <w:t xml:space="preserve">the baseline </w:t>
      </w:r>
      <w:r>
        <w:rPr>
          <w:lang w:eastAsia="ja-JP"/>
        </w:rPr>
        <w:t>UE capability is self-</w:t>
      </w:r>
      <w:r w:rsidR="00E22FD7">
        <w:rPr>
          <w:lang w:eastAsia="ja-JP"/>
        </w:rPr>
        <w:t>scheduling</w:t>
      </w:r>
      <w:r w:rsidR="005B3E4D">
        <w:rPr>
          <w:lang w:eastAsia="ja-JP"/>
        </w:rPr>
        <w:t xml:space="preserve">, i.e., PDCCH and </w:t>
      </w:r>
      <w:proofErr w:type="spellStart"/>
      <w:r w:rsidR="005B3E4D">
        <w:rPr>
          <w:lang w:eastAsia="ja-JP"/>
        </w:rPr>
        <w:t>PxSCH</w:t>
      </w:r>
      <w:proofErr w:type="spellEnd"/>
      <w:r w:rsidR="005B3E4D">
        <w:rPr>
          <w:lang w:eastAsia="ja-JP"/>
        </w:rPr>
        <w:t xml:space="preserve"> on the same carrier. Cross-carrier scheduling is an optional UE capability, and the LB CA via switching feature should not require optional UE capabilities as a pre-requisite.</w:t>
      </w:r>
      <w:r w:rsidR="00DD6DD9">
        <w:rPr>
          <w:lang w:eastAsia="ja-JP"/>
        </w:rPr>
        <w:t xml:space="preserve"> Further</w:t>
      </w:r>
      <w:r w:rsidR="00E22FD7">
        <w:rPr>
          <w:lang w:eastAsia="ja-JP"/>
        </w:rPr>
        <w:t>more</w:t>
      </w:r>
      <w:r w:rsidR="00DD6DD9">
        <w:rPr>
          <w:lang w:eastAsia="ja-JP"/>
        </w:rPr>
        <w:t>, during the WID scoping discussions cross-carrier scheduling was discussed but not agreed to be part of the WID.</w:t>
      </w:r>
    </w:p>
    <w:p w14:paraId="06EC6302" w14:textId="030448C4" w:rsidR="005B3E4D" w:rsidRDefault="005B3E4D" w:rsidP="005B3E4D">
      <w:pPr>
        <w:pStyle w:val="Proposal"/>
      </w:pPr>
      <w:bookmarkStart w:id="7" w:name="_Ref197445094"/>
      <w:bookmarkStart w:id="8" w:name="_Toc197695905"/>
      <w:r>
        <w:lastRenderedPageBreak/>
        <w:t>For switching from FDD carrier to SDL carrier, the switching gap is always assumed to be on the “switch from” carrier, i.e., FDD carrier (Alt-1 in the RAN1#120bis agreement).</w:t>
      </w:r>
      <w:bookmarkEnd w:id="7"/>
      <w:bookmarkEnd w:id="8"/>
    </w:p>
    <w:p w14:paraId="60AAF974" w14:textId="3A8099B1" w:rsidR="00265DE5" w:rsidRDefault="00265DE5" w:rsidP="00265DE5">
      <w:pPr>
        <w:pStyle w:val="Heading2"/>
      </w:pPr>
      <w:bookmarkStart w:id="9" w:name="_Ref197445313"/>
      <w:r>
        <w:t>4.2</w:t>
      </w:r>
      <w:r>
        <w:tab/>
        <w:t>Time Location of Switching Gap</w:t>
      </w:r>
      <w:bookmarkEnd w:id="9"/>
    </w:p>
    <w:p w14:paraId="38FF1C76" w14:textId="16594B62" w:rsidR="005B3E4D" w:rsidRDefault="005B3E4D" w:rsidP="005B3E4D">
      <w:pPr>
        <w:jc w:val="both"/>
        <w:rPr>
          <w:lang w:eastAsia="ja-JP"/>
        </w:rPr>
      </w:pPr>
      <w:r>
        <w:rPr>
          <w:lang w:eastAsia="ja-JP"/>
        </w:rPr>
        <w:t>In RAN1#120bis, the following agreement</w:t>
      </w:r>
      <w:r w:rsidR="00563B05">
        <w:rPr>
          <w:lang w:eastAsia="ja-JP"/>
        </w:rPr>
        <w:t>s</w:t>
      </w:r>
      <w:r>
        <w:rPr>
          <w:lang w:eastAsia="ja-JP"/>
        </w:rPr>
        <w:t xml:space="preserve"> </w:t>
      </w:r>
      <w:r w:rsidR="00563B05">
        <w:rPr>
          <w:lang w:eastAsia="ja-JP"/>
        </w:rPr>
        <w:t>were</w:t>
      </w:r>
      <w:r>
        <w:rPr>
          <w:lang w:eastAsia="ja-JP"/>
        </w:rPr>
        <w:t xml:space="preserve"> made regarding the time location of the switching gap, i.e., position within a slot.</w:t>
      </w:r>
    </w:p>
    <w:p w14:paraId="1D568855" w14:textId="77777777" w:rsidR="00563B05" w:rsidRPr="00563B05" w:rsidRDefault="00563B05" w:rsidP="00563B05">
      <w:pPr>
        <w:spacing w:after="0" w:line="240" w:lineRule="auto"/>
        <w:ind w:left="567"/>
        <w:rPr>
          <w:rFonts w:ascii="Times" w:eastAsia="DengXian" w:hAnsi="Times" w:cs="Times New Roman"/>
          <w:szCs w:val="24"/>
          <w:highlight w:val="green"/>
          <w:lang w:eastAsia="zh-CN"/>
        </w:rPr>
      </w:pPr>
      <w:r w:rsidRPr="00563B05">
        <w:rPr>
          <w:rFonts w:ascii="Times" w:eastAsia="DengXian" w:hAnsi="Times" w:cs="Times New Roman" w:hint="eastAsia"/>
          <w:szCs w:val="24"/>
          <w:highlight w:val="green"/>
          <w:lang w:eastAsia="zh-CN"/>
        </w:rPr>
        <w:t>Agreement</w:t>
      </w:r>
    </w:p>
    <w:p w14:paraId="1BB8EB50" w14:textId="77777777" w:rsidR="00563B05" w:rsidRPr="00563B05" w:rsidRDefault="00563B05" w:rsidP="00563B05">
      <w:pPr>
        <w:spacing w:after="0" w:line="240" w:lineRule="auto"/>
        <w:ind w:left="567"/>
        <w:rPr>
          <w:rFonts w:ascii="Times" w:eastAsia="DengXian" w:hAnsi="Times" w:cs="Times New Roman"/>
          <w:szCs w:val="24"/>
          <w:lang w:val="en-GB" w:eastAsia="zh-CN"/>
        </w:rPr>
      </w:pPr>
      <w:r w:rsidRPr="00563B05">
        <w:rPr>
          <w:rFonts w:ascii="Times" w:eastAsia="Batang" w:hAnsi="Times" w:cs="Times New Roman"/>
          <w:szCs w:val="24"/>
          <w:lang w:val="en-GB"/>
        </w:rPr>
        <w:t xml:space="preserve">For Rel-19 low NR band carrier aggregation via switching, the semi-static switching pattern and corresponding switching gap are based on the downlink timing (DL reception time at UE side) of </w:t>
      </w:r>
      <w:proofErr w:type="spellStart"/>
      <w:r w:rsidRPr="00563B05">
        <w:rPr>
          <w:rFonts w:ascii="Times" w:eastAsia="Batang" w:hAnsi="Times" w:cs="Times New Roman"/>
          <w:szCs w:val="24"/>
          <w:lang w:val="en-GB"/>
        </w:rPr>
        <w:t>Pcell</w:t>
      </w:r>
      <w:proofErr w:type="spellEnd"/>
      <w:r w:rsidRPr="00563B05">
        <w:rPr>
          <w:rFonts w:ascii="Times" w:eastAsia="DengXian" w:hAnsi="Times" w:cs="Times New Roman" w:hint="eastAsia"/>
          <w:szCs w:val="24"/>
          <w:lang w:val="en-GB" w:eastAsia="zh-CN"/>
        </w:rPr>
        <w:t>.</w:t>
      </w:r>
    </w:p>
    <w:p w14:paraId="1369CF46" w14:textId="77777777" w:rsidR="00563B05" w:rsidRPr="005B3E4D" w:rsidRDefault="00563B05" w:rsidP="005B3E4D">
      <w:pPr>
        <w:jc w:val="both"/>
        <w:rPr>
          <w:lang w:eastAsia="ja-JP"/>
        </w:rPr>
      </w:pPr>
    </w:p>
    <w:p w14:paraId="27252466" w14:textId="77777777" w:rsidR="00265DE5" w:rsidRPr="00265DE5" w:rsidRDefault="00265DE5" w:rsidP="00265DE5">
      <w:pPr>
        <w:spacing w:after="0" w:line="240" w:lineRule="auto"/>
        <w:ind w:left="567"/>
        <w:rPr>
          <w:rFonts w:ascii="Times" w:eastAsia="DengXian" w:hAnsi="Times" w:cs="Times New Roman"/>
          <w:szCs w:val="24"/>
          <w:highlight w:val="green"/>
          <w:lang w:val="en-GB" w:eastAsia="zh-CN"/>
        </w:rPr>
      </w:pPr>
      <w:r w:rsidRPr="00265DE5">
        <w:rPr>
          <w:rFonts w:ascii="Times" w:eastAsia="DengXian" w:hAnsi="Times" w:cs="Times New Roman" w:hint="eastAsia"/>
          <w:szCs w:val="24"/>
          <w:highlight w:val="green"/>
          <w:lang w:val="en-GB" w:eastAsia="zh-CN"/>
        </w:rPr>
        <w:t>Agreement</w:t>
      </w:r>
    </w:p>
    <w:p w14:paraId="56F229EE" w14:textId="77777777" w:rsidR="00265DE5" w:rsidRPr="00265DE5" w:rsidRDefault="00265DE5" w:rsidP="00265DE5">
      <w:pPr>
        <w:spacing w:after="0" w:line="240" w:lineRule="auto"/>
        <w:ind w:left="567"/>
        <w:contextualSpacing/>
        <w:rPr>
          <w:rFonts w:ascii="Times" w:eastAsia="DengXian" w:hAnsi="Times" w:cs="Times New Roman"/>
          <w:color w:val="000000"/>
          <w:szCs w:val="24"/>
          <w:lang w:val="en-GB" w:eastAsia="zh-CN"/>
        </w:rPr>
      </w:pPr>
      <w:r w:rsidRPr="00265DE5">
        <w:rPr>
          <w:rFonts w:ascii="Times" w:eastAsia="Batang" w:hAnsi="Times" w:cs="Times New Roman"/>
          <w:color w:val="000000"/>
          <w:szCs w:val="24"/>
          <w:lang w:val="en-GB"/>
        </w:rPr>
        <w:t>For RRC configuration of semi-static switching pattern in Rel-19 low NR band carrier aggregation via switching, the duration of the switching gap is RRC configured by the NW</w:t>
      </w:r>
      <w:r w:rsidRPr="00265DE5">
        <w:rPr>
          <w:rFonts w:ascii="Times" w:eastAsia="DengXian" w:hAnsi="Times" w:cs="Times New Roman" w:hint="eastAsia"/>
          <w:color w:val="000000"/>
          <w:szCs w:val="24"/>
          <w:lang w:val="en-GB" w:eastAsia="zh-CN"/>
        </w:rPr>
        <w:t>,</w:t>
      </w:r>
    </w:p>
    <w:p w14:paraId="233F773D" w14:textId="77777777" w:rsidR="00265DE5" w:rsidRPr="00265DE5" w:rsidRDefault="00265DE5" w:rsidP="00265DE5">
      <w:pPr>
        <w:numPr>
          <w:ilvl w:val="0"/>
          <w:numId w:val="24"/>
        </w:numPr>
        <w:spacing w:after="0" w:line="240" w:lineRule="auto"/>
        <w:ind w:left="1287"/>
        <w:contextualSpacing/>
        <w:rPr>
          <w:rFonts w:ascii="Times" w:eastAsia="Batang" w:hAnsi="Times" w:cs="Times New Roman"/>
          <w:color w:val="000000"/>
          <w:szCs w:val="24"/>
          <w:lang w:val="en-GB" w:eastAsia="x-none"/>
        </w:rPr>
      </w:pPr>
      <w:r w:rsidRPr="00265DE5">
        <w:rPr>
          <w:rFonts w:ascii="Times" w:eastAsia="DengXian" w:hAnsi="Times" w:cs="Times New Roman" w:hint="eastAsia"/>
          <w:color w:val="000000"/>
          <w:szCs w:val="24"/>
          <w:lang w:val="en-GB" w:eastAsia="zh-CN"/>
        </w:rPr>
        <w:t>S</w:t>
      </w:r>
      <w:r w:rsidRPr="00265DE5">
        <w:rPr>
          <w:rFonts w:ascii="Times" w:eastAsia="Batang" w:hAnsi="Times" w:cs="Times New Roman"/>
          <w:color w:val="000000"/>
          <w:szCs w:val="24"/>
          <w:lang w:val="en-GB" w:eastAsia="x-none"/>
        </w:rPr>
        <w:t>witching gap duration can be different for FDD to SDL switch, and SDL to FDD switch.</w:t>
      </w:r>
    </w:p>
    <w:p w14:paraId="54CE2897" w14:textId="77777777" w:rsidR="00265DE5" w:rsidRPr="00265DE5" w:rsidRDefault="00265DE5" w:rsidP="00265DE5">
      <w:pPr>
        <w:numPr>
          <w:ilvl w:val="0"/>
          <w:numId w:val="24"/>
        </w:numPr>
        <w:spacing w:after="0" w:line="240" w:lineRule="auto"/>
        <w:ind w:left="1287"/>
        <w:contextualSpacing/>
        <w:rPr>
          <w:rFonts w:ascii="Times" w:eastAsia="Batang" w:hAnsi="Times" w:cs="Times New Roman"/>
          <w:strike/>
          <w:color w:val="000000"/>
          <w:szCs w:val="24"/>
          <w:lang w:val="en-GB" w:eastAsia="x-none"/>
        </w:rPr>
      </w:pPr>
      <w:r w:rsidRPr="00265DE5">
        <w:rPr>
          <w:rFonts w:ascii="Times" w:eastAsia="Batang" w:hAnsi="Times" w:cs="Times New Roman"/>
          <w:color w:val="000000"/>
          <w:szCs w:val="24"/>
          <w:lang w:val="en-GB" w:eastAsia="x-none"/>
        </w:rPr>
        <w:t xml:space="preserve">Note: NW ensures that the switching gap is enough to cover at least the switching period as in RAN4 LS (R1-2501702) </w:t>
      </w:r>
      <w:r w:rsidRPr="00265DE5">
        <w:rPr>
          <w:rFonts w:ascii="Times" w:eastAsia="DengXian" w:hAnsi="Times" w:cs="Times New Roman" w:hint="eastAsia"/>
          <w:color w:val="000000"/>
          <w:szCs w:val="24"/>
          <w:lang w:val="en-GB" w:eastAsia="zh-CN"/>
        </w:rPr>
        <w:t>and UL TA (if needed)</w:t>
      </w:r>
    </w:p>
    <w:p w14:paraId="03F80300" w14:textId="77777777" w:rsidR="00265DE5" w:rsidRPr="00265DE5" w:rsidRDefault="00265DE5" w:rsidP="00265DE5">
      <w:pPr>
        <w:numPr>
          <w:ilvl w:val="1"/>
          <w:numId w:val="24"/>
        </w:numPr>
        <w:spacing w:after="120" w:line="240" w:lineRule="auto"/>
        <w:ind w:left="2007"/>
        <w:contextualSpacing/>
        <w:jc w:val="both"/>
        <w:rPr>
          <w:rFonts w:ascii="Times" w:eastAsia="Batang" w:hAnsi="Times" w:cs="Times New Roman"/>
          <w:color w:val="000000"/>
          <w:szCs w:val="24"/>
          <w:lang w:val="en-GB" w:eastAsia="x-none"/>
        </w:rPr>
      </w:pPr>
      <w:r w:rsidRPr="00265DE5">
        <w:rPr>
          <w:rFonts w:ascii="Times" w:eastAsia="Batang" w:hAnsi="Times" w:cs="Times New Roman"/>
          <w:color w:val="000000"/>
          <w:szCs w:val="24"/>
          <w:lang w:eastAsia="zh-CN"/>
        </w:rPr>
        <w:t xml:space="preserve">For the UL TA, </w:t>
      </w:r>
    </w:p>
    <w:p w14:paraId="5C97B7D1" w14:textId="77777777" w:rsidR="00265DE5" w:rsidRPr="00265DE5" w:rsidRDefault="00265DE5" w:rsidP="00265DE5">
      <w:pPr>
        <w:numPr>
          <w:ilvl w:val="2"/>
          <w:numId w:val="24"/>
        </w:numPr>
        <w:spacing w:after="120" w:line="240" w:lineRule="auto"/>
        <w:ind w:left="2727"/>
        <w:contextualSpacing/>
        <w:jc w:val="both"/>
        <w:rPr>
          <w:rFonts w:ascii="Times" w:eastAsia="Batang" w:hAnsi="Times" w:cs="Times New Roman"/>
          <w:color w:val="000000"/>
          <w:szCs w:val="24"/>
          <w:lang w:val="en-GB" w:eastAsia="x-none"/>
        </w:rPr>
      </w:pPr>
      <w:r w:rsidRPr="00265DE5">
        <w:rPr>
          <w:rFonts w:ascii="Times" w:eastAsia="DengXian" w:hAnsi="Times" w:cs="Times New Roman" w:hint="eastAsia"/>
          <w:color w:val="000000"/>
          <w:szCs w:val="24"/>
          <w:lang w:val="en-GB" w:eastAsia="zh-CN"/>
        </w:rPr>
        <w:t>S</w:t>
      </w:r>
      <w:r w:rsidRPr="00265DE5">
        <w:rPr>
          <w:rFonts w:ascii="Times" w:eastAsia="Batang" w:hAnsi="Times" w:cs="Times New Roman"/>
          <w:color w:val="000000"/>
          <w:szCs w:val="24"/>
          <w:lang w:val="en-GB" w:eastAsia="x-none"/>
        </w:rPr>
        <w:t>witching gap for</w:t>
      </w:r>
      <w:r w:rsidRPr="00265DE5">
        <w:rPr>
          <w:rFonts w:ascii="Times" w:eastAsia="Batang" w:hAnsi="Times" w:cs="Times New Roman"/>
          <w:color w:val="000000"/>
          <w:szCs w:val="24"/>
          <w:lang w:eastAsia="x-none"/>
        </w:rPr>
        <w:t xml:space="preserve"> </w:t>
      </w:r>
      <w:r w:rsidRPr="00265DE5">
        <w:rPr>
          <w:rFonts w:ascii="Times" w:eastAsia="Batang" w:hAnsi="Times" w:cs="Times New Roman"/>
          <w:color w:val="000000"/>
          <w:szCs w:val="24"/>
          <w:lang w:val="en-GB" w:eastAsia="x-none"/>
        </w:rPr>
        <w:t>SDL to FDD switch</w:t>
      </w:r>
      <w:r w:rsidRPr="00265DE5">
        <w:rPr>
          <w:rFonts w:ascii="Times" w:eastAsia="DengXian" w:hAnsi="Times" w:cs="Times New Roman" w:hint="eastAsia"/>
          <w:color w:val="000000"/>
          <w:szCs w:val="24"/>
          <w:lang w:val="en-GB" w:eastAsia="zh-CN"/>
        </w:rPr>
        <w:t xml:space="preserve"> ends at the end of slot on SDL</w:t>
      </w:r>
    </w:p>
    <w:p w14:paraId="4373BC32" w14:textId="77777777" w:rsidR="00265DE5" w:rsidRPr="00265DE5" w:rsidRDefault="00265DE5" w:rsidP="00265DE5">
      <w:pPr>
        <w:numPr>
          <w:ilvl w:val="3"/>
          <w:numId w:val="24"/>
        </w:numPr>
        <w:spacing w:after="120" w:line="240" w:lineRule="auto"/>
        <w:ind w:left="3447"/>
        <w:contextualSpacing/>
        <w:jc w:val="both"/>
        <w:rPr>
          <w:rFonts w:ascii="Times" w:eastAsia="Batang" w:hAnsi="Times" w:cs="Times New Roman"/>
          <w:color w:val="000000"/>
          <w:szCs w:val="24"/>
          <w:lang w:val="en-GB" w:eastAsia="x-none"/>
        </w:rPr>
      </w:pPr>
      <w:r w:rsidRPr="00265DE5">
        <w:rPr>
          <w:rFonts w:ascii="Times" w:eastAsia="DengXian" w:hAnsi="Times" w:cs="Times New Roman" w:hint="eastAsia"/>
          <w:color w:val="000000"/>
          <w:szCs w:val="24"/>
          <w:lang w:val="en-GB" w:eastAsia="zh-CN"/>
        </w:rPr>
        <w:t>Note: RAN1 assumes that s</w:t>
      </w:r>
      <w:r w:rsidRPr="00265DE5">
        <w:rPr>
          <w:rFonts w:ascii="Times" w:eastAsia="Batang" w:hAnsi="Times" w:cs="Times New Roman"/>
          <w:color w:val="000000"/>
          <w:szCs w:val="24"/>
          <w:lang w:val="en-GB" w:eastAsia="x-none"/>
        </w:rPr>
        <w:t>witching gap for</w:t>
      </w:r>
      <w:r w:rsidRPr="00265DE5">
        <w:rPr>
          <w:rFonts w:ascii="Times" w:eastAsia="Batang" w:hAnsi="Times" w:cs="Times New Roman"/>
          <w:color w:val="000000"/>
          <w:szCs w:val="24"/>
          <w:lang w:eastAsia="x-none"/>
        </w:rPr>
        <w:t xml:space="preserve"> </w:t>
      </w:r>
      <w:r w:rsidRPr="00265DE5">
        <w:rPr>
          <w:rFonts w:ascii="Times" w:eastAsia="Batang" w:hAnsi="Times" w:cs="Times New Roman"/>
          <w:color w:val="000000"/>
          <w:szCs w:val="24"/>
          <w:lang w:val="en-GB" w:eastAsia="x-none"/>
        </w:rPr>
        <w:t>SDL to FDD switch includes UL TA</w:t>
      </w:r>
    </w:p>
    <w:p w14:paraId="4A0799E3" w14:textId="77777777" w:rsidR="00265DE5" w:rsidRPr="00265DE5" w:rsidRDefault="00265DE5" w:rsidP="00265DE5">
      <w:pPr>
        <w:spacing w:after="0" w:line="240" w:lineRule="auto"/>
        <w:ind w:left="567"/>
        <w:rPr>
          <w:rFonts w:ascii="Times" w:eastAsia="Batang" w:hAnsi="Times" w:cs="Times New Roman"/>
          <w:szCs w:val="24"/>
          <w:lang w:val="en-GB" w:eastAsia="x-none"/>
        </w:rPr>
      </w:pPr>
      <w:r w:rsidRPr="00265DE5">
        <w:rPr>
          <w:rFonts w:ascii="Times" w:eastAsia="Batang" w:hAnsi="Times" w:cs="Times New Roman"/>
          <w:color w:val="000000"/>
          <w:szCs w:val="24"/>
          <w:lang w:val="en-GB"/>
        </w:rPr>
        <w:t>FFS: whether it has specification impact</w:t>
      </w:r>
    </w:p>
    <w:p w14:paraId="43C85EBC" w14:textId="77777777" w:rsidR="00866982" w:rsidRDefault="00866982" w:rsidP="00664A93">
      <w:pPr>
        <w:jc w:val="both"/>
        <w:rPr>
          <w:lang w:val="en-GB" w:eastAsia="ja-JP"/>
        </w:rPr>
      </w:pPr>
    </w:p>
    <w:p w14:paraId="6A062865" w14:textId="2AA6768A" w:rsidR="005B3E4D" w:rsidRDefault="005B3E4D" w:rsidP="00664A93">
      <w:pPr>
        <w:jc w:val="both"/>
        <w:rPr>
          <w:lang w:eastAsia="ja-JP"/>
        </w:rPr>
      </w:pPr>
      <w:r>
        <w:rPr>
          <w:lang w:val="en-GB" w:eastAsia="ja-JP"/>
        </w:rPr>
        <w:t xml:space="preserve">For the SDL </w:t>
      </w:r>
      <w:r w:rsidRPr="005B3E4D">
        <w:rPr>
          <w:lang w:val="en-GB" w:eastAsia="ja-JP"/>
        </w:rPr>
        <w:sym w:font="Wingdings" w:char="F0E8"/>
      </w:r>
      <w:r>
        <w:rPr>
          <w:lang w:val="en-GB" w:eastAsia="ja-JP"/>
        </w:rPr>
        <w:t xml:space="preserve"> FDD switch direction, it has </w:t>
      </w:r>
      <w:r w:rsidR="00F755B0">
        <w:rPr>
          <w:lang w:val="en-GB" w:eastAsia="ja-JP"/>
        </w:rPr>
        <w:t xml:space="preserve">already </w:t>
      </w:r>
      <w:r>
        <w:rPr>
          <w:lang w:val="en-GB" w:eastAsia="ja-JP"/>
        </w:rPr>
        <w:t>been agreed that the switching gap ends at the end of the</w:t>
      </w:r>
      <w:r w:rsidR="00F755B0">
        <w:rPr>
          <w:lang w:val="en-GB" w:eastAsia="ja-JP"/>
        </w:rPr>
        <w:t xml:space="preserve"> SDL slot as illustrated in </w:t>
      </w:r>
      <w:r w:rsidR="00F755B0">
        <w:rPr>
          <w:lang w:eastAsia="ja-JP"/>
        </w:rPr>
        <w:fldChar w:fldCharType="begin"/>
      </w:r>
      <w:r w:rsidR="00F755B0">
        <w:rPr>
          <w:lang w:eastAsia="ja-JP"/>
        </w:rPr>
        <w:instrText xml:space="preserve"> REF _Ref197444642 \h </w:instrText>
      </w:r>
      <w:r w:rsidR="00F755B0">
        <w:rPr>
          <w:lang w:eastAsia="ja-JP"/>
        </w:rPr>
      </w:r>
      <w:r w:rsidR="00F755B0">
        <w:rPr>
          <w:lang w:eastAsia="ja-JP"/>
        </w:rPr>
        <w:fldChar w:fldCharType="separate"/>
      </w:r>
      <w:r w:rsidR="00F755B0">
        <w:t xml:space="preserve">Figure </w:t>
      </w:r>
      <w:r w:rsidR="00F755B0">
        <w:rPr>
          <w:noProof/>
        </w:rPr>
        <w:t>3</w:t>
      </w:r>
      <w:r w:rsidR="00F755B0">
        <w:rPr>
          <w:lang w:eastAsia="ja-JP"/>
        </w:rPr>
        <w:fldChar w:fldCharType="end"/>
      </w:r>
      <w:r w:rsidR="00F755B0">
        <w:rPr>
          <w:lang w:eastAsia="ja-JP"/>
        </w:rPr>
        <w:t xml:space="preserve">. However, the above agreement leaves open the time location of the switching gap for the FDD </w:t>
      </w:r>
      <w:r w:rsidR="00F755B0">
        <w:rPr>
          <w:lang w:eastAsia="ja-JP"/>
        </w:rPr>
        <w:sym w:font="Wingdings" w:char="F0E8"/>
      </w:r>
      <w:r w:rsidR="00F755B0">
        <w:rPr>
          <w:lang w:eastAsia="ja-JP"/>
        </w:rPr>
        <w:t xml:space="preserve"> SDL direction. In our view, the switching gap should end at the end of the FDD slot, consistent with the switching gap being located on the FDD carrier as we propose in </w:t>
      </w:r>
      <w:r w:rsidR="00F755B0">
        <w:rPr>
          <w:lang w:eastAsia="ja-JP"/>
        </w:rPr>
        <w:fldChar w:fldCharType="begin"/>
      </w:r>
      <w:r w:rsidR="00F755B0">
        <w:rPr>
          <w:lang w:eastAsia="ja-JP"/>
        </w:rPr>
        <w:instrText xml:space="preserve"> REF _Ref197445094 \r \h </w:instrText>
      </w:r>
      <w:r w:rsidR="00F755B0">
        <w:rPr>
          <w:lang w:eastAsia="ja-JP"/>
        </w:rPr>
      </w:r>
      <w:r w:rsidR="00F755B0">
        <w:rPr>
          <w:lang w:eastAsia="ja-JP"/>
        </w:rPr>
        <w:fldChar w:fldCharType="separate"/>
      </w:r>
      <w:r w:rsidR="00F755B0">
        <w:rPr>
          <w:lang w:eastAsia="ja-JP"/>
        </w:rPr>
        <w:t>Proposal 3</w:t>
      </w:r>
      <w:r w:rsidR="00F755B0">
        <w:rPr>
          <w:lang w:eastAsia="ja-JP"/>
        </w:rPr>
        <w:fldChar w:fldCharType="end"/>
      </w:r>
      <w:r w:rsidR="00F755B0">
        <w:rPr>
          <w:lang w:eastAsia="ja-JP"/>
        </w:rPr>
        <w:t>.</w:t>
      </w:r>
    </w:p>
    <w:p w14:paraId="72B6EDA3" w14:textId="38C5C7F2" w:rsidR="00F755B0" w:rsidRDefault="00F755B0" w:rsidP="00F755B0">
      <w:pPr>
        <w:pStyle w:val="Proposal"/>
      </w:pPr>
      <w:bookmarkStart w:id="10" w:name="_Toc197695906"/>
      <w:r>
        <w:t xml:space="preserve">For switching from FDD carrier to SDL carrier, the switching gap </w:t>
      </w:r>
      <w:r w:rsidRPr="00F755B0">
        <w:t xml:space="preserve">ends at the end of </w:t>
      </w:r>
      <w:r w:rsidR="00563B05">
        <w:t xml:space="preserve">the </w:t>
      </w:r>
      <w:r w:rsidRPr="00F755B0">
        <w:t xml:space="preserve">slot on </w:t>
      </w:r>
      <w:r>
        <w:t>the FDD carrier</w:t>
      </w:r>
      <w:r w:rsidR="00563B05">
        <w:t xml:space="preserve">. Note: as previously agreed, the </w:t>
      </w:r>
      <w:r w:rsidR="006F3654">
        <w:t xml:space="preserve">timing reference for </w:t>
      </w:r>
      <w:r w:rsidR="00563B05">
        <w:t>configuration of the switching ga</w:t>
      </w:r>
      <w:r w:rsidR="006F3654">
        <w:t>p is based on the downlink timing of the PCell.</w:t>
      </w:r>
      <w:bookmarkEnd w:id="10"/>
    </w:p>
    <w:p w14:paraId="0A328144" w14:textId="544A2BB8" w:rsidR="00F755B0" w:rsidRDefault="00F755B0" w:rsidP="00F755B0">
      <w:pPr>
        <w:pStyle w:val="Heading1"/>
      </w:pPr>
      <w:r>
        <w:t>5</w:t>
      </w:r>
      <w:r>
        <w:tab/>
      </w:r>
      <w:r w:rsidR="006A751E">
        <w:t xml:space="preserve">Potential </w:t>
      </w:r>
      <w:r w:rsidR="003F7876">
        <w:t>C</w:t>
      </w:r>
      <w:r w:rsidR="006A751E">
        <w:t>ollision of UL/DL Signals/Channels with Switching Gap</w:t>
      </w:r>
    </w:p>
    <w:p w14:paraId="4A589F3A" w14:textId="6AA5D14B" w:rsidR="00F755B0" w:rsidRDefault="00F755B0" w:rsidP="00B80D5F">
      <w:pPr>
        <w:jc w:val="both"/>
        <w:rPr>
          <w:lang w:val="en-GB" w:eastAsia="ja-JP"/>
        </w:rPr>
      </w:pPr>
      <w:r>
        <w:rPr>
          <w:lang w:val="en-GB" w:eastAsia="ja-JP"/>
        </w:rPr>
        <w:t xml:space="preserve">As stated in the agreement shown in Section 4.2, the gNB ensures that the configured switching gap is enough to cover at least the switching period (35 or 140 </w:t>
      </w:r>
      <w:r w:rsidR="006F3654">
        <w:rPr>
          <w:rFonts w:cs="Arial"/>
          <w:lang w:val="en-GB" w:eastAsia="ja-JP"/>
        </w:rPr>
        <w:t>µ</w:t>
      </w:r>
      <w:r>
        <w:rPr>
          <w:lang w:val="en-GB" w:eastAsia="ja-JP"/>
        </w:rPr>
        <w:t>s) and UL TA (if needed)</w:t>
      </w:r>
      <w:r w:rsidR="0075383B">
        <w:rPr>
          <w:lang w:val="en-GB" w:eastAsia="ja-JP"/>
        </w:rPr>
        <w:t>:</w:t>
      </w:r>
    </w:p>
    <w:p w14:paraId="51F1CA19" w14:textId="77777777" w:rsidR="00F755B0" w:rsidRPr="00265DE5" w:rsidRDefault="00F755B0" w:rsidP="00F755B0">
      <w:pPr>
        <w:numPr>
          <w:ilvl w:val="0"/>
          <w:numId w:val="24"/>
        </w:numPr>
        <w:spacing w:after="0" w:line="240" w:lineRule="auto"/>
        <w:ind w:left="1287"/>
        <w:contextualSpacing/>
        <w:rPr>
          <w:rFonts w:ascii="Times" w:eastAsia="Batang" w:hAnsi="Times" w:cs="Times New Roman"/>
          <w:strike/>
          <w:color w:val="000000"/>
          <w:szCs w:val="24"/>
          <w:lang w:val="en-GB" w:eastAsia="x-none"/>
        </w:rPr>
      </w:pPr>
      <w:r w:rsidRPr="00265DE5">
        <w:rPr>
          <w:rFonts w:ascii="Times" w:eastAsia="Batang" w:hAnsi="Times" w:cs="Times New Roman"/>
          <w:color w:val="000000"/>
          <w:szCs w:val="24"/>
          <w:lang w:val="en-GB" w:eastAsia="x-none"/>
        </w:rPr>
        <w:t xml:space="preserve">Note: NW ensures that the switching gap is enough to cover at least the switching period as in RAN4 LS (R1-2501702) </w:t>
      </w:r>
      <w:r w:rsidRPr="00265DE5">
        <w:rPr>
          <w:rFonts w:ascii="Times" w:eastAsia="DengXian" w:hAnsi="Times" w:cs="Times New Roman" w:hint="eastAsia"/>
          <w:color w:val="000000"/>
          <w:szCs w:val="24"/>
          <w:lang w:val="en-GB" w:eastAsia="zh-CN"/>
        </w:rPr>
        <w:t>and UL TA (if needed)</w:t>
      </w:r>
    </w:p>
    <w:p w14:paraId="17A28C6C" w14:textId="77777777" w:rsidR="00F755B0" w:rsidRDefault="00F755B0" w:rsidP="00F755B0">
      <w:pPr>
        <w:rPr>
          <w:lang w:val="en-GB" w:eastAsia="ja-JP"/>
        </w:rPr>
      </w:pPr>
    </w:p>
    <w:p w14:paraId="33773464" w14:textId="4F58A658" w:rsidR="00563B05" w:rsidRDefault="00F755B0" w:rsidP="00B80D5F">
      <w:pPr>
        <w:jc w:val="both"/>
        <w:rPr>
          <w:lang w:eastAsia="ja-JP"/>
        </w:rPr>
      </w:pPr>
      <w:r>
        <w:rPr>
          <w:lang w:val="en-GB" w:eastAsia="ja-JP"/>
        </w:rPr>
        <w:t xml:space="preserve">For the SDL </w:t>
      </w:r>
      <w:r w:rsidRPr="00F755B0">
        <w:rPr>
          <w:lang w:val="en-GB" w:eastAsia="ja-JP"/>
        </w:rPr>
        <w:sym w:font="Wingdings" w:char="F0E8"/>
      </w:r>
      <w:r>
        <w:rPr>
          <w:lang w:val="en-GB" w:eastAsia="ja-JP"/>
        </w:rPr>
        <w:t xml:space="preserve"> FDD switch direction, the implication of is that the gNB would typically configure the UE with a switching gap assuming the worst case (largest) TA expected for the cell. </w:t>
      </w:r>
      <w:r w:rsidR="00563B05">
        <w:rPr>
          <w:lang w:val="en-GB" w:eastAsia="ja-JP"/>
        </w:rPr>
        <w:t xml:space="preserve">As illustrated in </w:t>
      </w:r>
      <w:r w:rsidR="00563B05">
        <w:rPr>
          <w:lang w:eastAsia="ja-JP"/>
        </w:rPr>
        <w:fldChar w:fldCharType="begin"/>
      </w:r>
      <w:r w:rsidR="00563B05">
        <w:rPr>
          <w:lang w:eastAsia="ja-JP"/>
        </w:rPr>
        <w:instrText xml:space="preserve"> REF _Ref197444642 \h </w:instrText>
      </w:r>
      <w:r w:rsidR="00563B05">
        <w:rPr>
          <w:lang w:eastAsia="ja-JP"/>
        </w:rPr>
      </w:r>
      <w:r w:rsidR="00563B05">
        <w:rPr>
          <w:lang w:eastAsia="ja-JP"/>
        </w:rPr>
        <w:fldChar w:fldCharType="separate"/>
      </w:r>
      <w:r w:rsidR="00563B05">
        <w:t xml:space="preserve">Figure </w:t>
      </w:r>
      <w:r w:rsidR="00563B05">
        <w:rPr>
          <w:noProof/>
        </w:rPr>
        <w:t>3</w:t>
      </w:r>
      <w:r w:rsidR="00563B05">
        <w:rPr>
          <w:lang w:eastAsia="ja-JP"/>
        </w:rPr>
        <w:fldChar w:fldCharType="end"/>
      </w:r>
      <w:r w:rsidR="00563B05">
        <w:rPr>
          <w:lang w:eastAsia="ja-JP"/>
        </w:rPr>
        <w:t>, this provides the UE within enough time to complete its switching to the FDD carrier switch prior to the start of a scheduled or configured UL transmission on the FDD carrier. Hence, there is no need for the UE to perform dropping of any UL symbols on the FDD carrier for this switch direction</w:t>
      </w:r>
      <w:r w:rsidR="006A751E">
        <w:rPr>
          <w:lang w:eastAsia="ja-JP"/>
        </w:rPr>
        <w:t xml:space="preserve">, since </w:t>
      </w:r>
      <w:r w:rsidR="00B80D5F">
        <w:rPr>
          <w:lang w:eastAsia="ja-JP"/>
        </w:rPr>
        <w:t>an</w:t>
      </w:r>
      <w:r w:rsidR="006A751E">
        <w:rPr>
          <w:lang w:eastAsia="ja-JP"/>
        </w:rPr>
        <w:t xml:space="preserve"> UL transmission </w:t>
      </w:r>
      <w:r w:rsidR="00B80D5F">
        <w:rPr>
          <w:lang w:eastAsia="ja-JP"/>
        </w:rPr>
        <w:t>will not collide with the switching gap.</w:t>
      </w:r>
      <w:r w:rsidR="006A751E">
        <w:rPr>
          <w:lang w:eastAsia="ja-JP"/>
        </w:rPr>
        <w:t xml:space="preserve"> </w:t>
      </w:r>
    </w:p>
    <w:p w14:paraId="75B777D5" w14:textId="0501A30D" w:rsidR="00F755B0" w:rsidRDefault="00563B05" w:rsidP="00563B05">
      <w:pPr>
        <w:pStyle w:val="Observation"/>
        <w:ind w:left="1710" w:hanging="1710"/>
        <w:rPr>
          <w:lang w:val="en-GB"/>
        </w:rPr>
      </w:pPr>
      <w:bookmarkStart w:id="11" w:name="_Toc197695899"/>
      <w:r>
        <w:t>For switching from the SDL to the FDD carrier, there is no need to specify any UL dropping rules to handle overlap of the switching gap with the UL transmission on the FDD carrier since the network ensures that the switching gap is configured large enough to cover at least the switching period and timing advance.</w:t>
      </w:r>
      <w:bookmarkEnd w:id="11"/>
    </w:p>
    <w:p w14:paraId="635F9540" w14:textId="7731C7E6" w:rsidR="003F7876" w:rsidRDefault="00563B05" w:rsidP="00B80D5F">
      <w:pPr>
        <w:jc w:val="both"/>
        <w:rPr>
          <w:lang w:val="en-GB" w:eastAsia="ja-JP"/>
        </w:rPr>
      </w:pPr>
      <w:r>
        <w:rPr>
          <w:lang w:val="en-GB" w:eastAsia="ja-JP"/>
        </w:rPr>
        <w:lastRenderedPageBreak/>
        <w:t xml:space="preserve">In contrast, for the FDD </w:t>
      </w:r>
      <w:r w:rsidRPr="00563B05">
        <w:rPr>
          <w:lang w:val="en-GB" w:eastAsia="ja-JP"/>
        </w:rPr>
        <w:sym w:font="Wingdings" w:char="F0E8"/>
      </w:r>
      <w:r>
        <w:rPr>
          <w:lang w:val="en-GB" w:eastAsia="ja-JP"/>
        </w:rPr>
        <w:t xml:space="preserve"> SDL switch direction, assuming the switching gap ends at the end of the FDD</w:t>
      </w:r>
      <w:r w:rsidR="006F3654">
        <w:rPr>
          <w:lang w:val="en-GB" w:eastAsia="ja-JP"/>
        </w:rPr>
        <w:t xml:space="preserve"> slot, there is a need to specify UE </w:t>
      </w:r>
      <w:proofErr w:type="spellStart"/>
      <w:r w:rsidR="006F3654">
        <w:rPr>
          <w:lang w:val="en-GB" w:eastAsia="ja-JP"/>
        </w:rPr>
        <w:t>behavior</w:t>
      </w:r>
      <w:proofErr w:type="spellEnd"/>
      <w:r w:rsidR="00B80D5F">
        <w:rPr>
          <w:lang w:val="en-GB" w:eastAsia="ja-JP"/>
        </w:rPr>
        <w:t xml:space="preserve"> for a potential collision of a scheduled/configured UL or DL signal/channel with the switching gap</w:t>
      </w:r>
      <w:r w:rsidR="006F3654">
        <w:rPr>
          <w:lang w:val="en-GB" w:eastAsia="ja-JP"/>
        </w:rPr>
        <w:t xml:space="preserve">. As illustrated in </w:t>
      </w:r>
      <w:r w:rsidR="006F3654">
        <w:rPr>
          <w:lang w:eastAsia="ja-JP"/>
        </w:rPr>
        <w:fldChar w:fldCharType="begin"/>
      </w:r>
      <w:r w:rsidR="006F3654">
        <w:rPr>
          <w:lang w:eastAsia="ja-JP"/>
        </w:rPr>
        <w:instrText xml:space="preserve"> REF _Ref197444642 \h </w:instrText>
      </w:r>
      <w:r w:rsidR="006F3654">
        <w:rPr>
          <w:lang w:eastAsia="ja-JP"/>
        </w:rPr>
      </w:r>
      <w:r w:rsidR="006F3654">
        <w:rPr>
          <w:lang w:eastAsia="ja-JP"/>
        </w:rPr>
        <w:fldChar w:fldCharType="separate"/>
      </w:r>
      <w:r w:rsidR="006F3654">
        <w:t xml:space="preserve">Figure </w:t>
      </w:r>
      <w:r w:rsidR="006F3654">
        <w:rPr>
          <w:noProof/>
        </w:rPr>
        <w:t>3</w:t>
      </w:r>
      <w:r w:rsidR="006F3654">
        <w:rPr>
          <w:lang w:eastAsia="ja-JP"/>
        </w:rPr>
        <w:fldChar w:fldCharType="end"/>
      </w:r>
      <w:r w:rsidR="006F3654">
        <w:rPr>
          <w:lang w:eastAsia="ja-JP"/>
        </w:rPr>
        <w:t xml:space="preserve">, the switching gap will always overlap the end of the DL slot on the FDD carrier. For UL on the FDD carrier, for </w:t>
      </w:r>
      <w:r w:rsidR="006F3654">
        <w:rPr>
          <w:lang w:val="en-GB" w:eastAsia="ja-JP"/>
        </w:rPr>
        <w:t xml:space="preserve">any value of TA less than the switching period (35 or 140 </w:t>
      </w:r>
      <w:r w:rsidR="006F3654">
        <w:rPr>
          <w:rFonts w:cs="Arial"/>
          <w:lang w:val="en-GB" w:eastAsia="ja-JP"/>
        </w:rPr>
        <w:t>µ</w:t>
      </w:r>
      <w:r w:rsidR="006F3654">
        <w:rPr>
          <w:lang w:val="en-GB" w:eastAsia="ja-JP"/>
        </w:rPr>
        <w:t>s), the switching gap will always overlap the end of the UL slot on the FDD carrier.</w:t>
      </w:r>
      <w:r w:rsidR="0075383B">
        <w:rPr>
          <w:lang w:val="en-GB" w:eastAsia="ja-JP"/>
        </w:rPr>
        <w:t xml:space="preserve"> To handle these overlaps, we think a simple solution is to specify that </w:t>
      </w:r>
      <w:r w:rsidR="00E22FD7">
        <w:rPr>
          <w:lang w:val="en-GB" w:eastAsia="ja-JP"/>
        </w:rPr>
        <w:t xml:space="preserve">at least for UL, </w:t>
      </w:r>
      <w:r w:rsidR="00B80D5F">
        <w:rPr>
          <w:lang w:val="en-GB" w:eastAsia="ja-JP"/>
        </w:rPr>
        <w:t>the UE simply omits transmission of the UL symbols if there is an overlap of a scheduled/configured UL</w:t>
      </w:r>
      <w:r w:rsidR="00E22FD7">
        <w:rPr>
          <w:lang w:val="en-GB" w:eastAsia="ja-JP"/>
        </w:rPr>
        <w:t xml:space="preserve"> signal/channel</w:t>
      </w:r>
      <w:r w:rsidR="00B80D5F">
        <w:rPr>
          <w:lang w:val="en-GB" w:eastAsia="ja-JP"/>
        </w:rPr>
        <w:t xml:space="preserve"> with the scheduling gap.</w:t>
      </w:r>
      <w:r w:rsidR="00E22FD7">
        <w:rPr>
          <w:lang w:val="en-GB" w:eastAsia="ja-JP"/>
        </w:rPr>
        <w:t xml:space="preserve"> It can be further discussed </w:t>
      </w:r>
      <w:proofErr w:type="gramStart"/>
      <w:r w:rsidR="00E22FD7">
        <w:rPr>
          <w:lang w:val="en-GB" w:eastAsia="ja-JP"/>
        </w:rPr>
        <w:t>whether or not</w:t>
      </w:r>
      <w:proofErr w:type="gramEnd"/>
      <w:r w:rsidR="00E22FD7">
        <w:rPr>
          <w:lang w:val="en-GB" w:eastAsia="ja-JP"/>
        </w:rPr>
        <w:t xml:space="preserve"> there is a need to introduce a similar rule for the DL.</w:t>
      </w:r>
    </w:p>
    <w:p w14:paraId="167D9396" w14:textId="16532A61" w:rsidR="00C47D2C" w:rsidRDefault="0075383B" w:rsidP="00B80D5F">
      <w:pPr>
        <w:jc w:val="both"/>
        <w:rPr>
          <w:lang w:val="en-GB" w:eastAsia="ja-JP"/>
        </w:rPr>
      </w:pPr>
      <w:r>
        <w:rPr>
          <w:lang w:val="en-GB" w:eastAsia="ja-JP"/>
        </w:rPr>
        <w:t>We acknowledge that an alternative is to specify that the gNB ensures by configuration</w:t>
      </w:r>
      <w:r w:rsidR="003F7876">
        <w:rPr>
          <w:lang w:val="en-GB" w:eastAsia="ja-JP"/>
        </w:rPr>
        <w:t>/</w:t>
      </w:r>
      <w:r>
        <w:rPr>
          <w:lang w:val="en-GB" w:eastAsia="ja-JP"/>
        </w:rPr>
        <w:t xml:space="preserve">scheduling that there is no overlap. However, this becomes tricky when one considers </w:t>
      </w:r>
      <w:proofErr w:type="spellStart"/>
      <w:r>
        <w:rPr>
          <w:lang w:val="en-GB" w:eastAsia="ja-JP"/>
        </w:rPr>
        <w:t>periodicly</w:t>
      </w:r>
      <w:proofErr w:type="spellEnd"/>
      <w:r>
        <w:rPr>
          <w:lang w:val="en-GB" w:eastAsia="ja-JP"/>
        </w:rPr>
        <w:t xml:space="preserve"> configured </w:t>
      </w:r>
      <w:r w:rsidR="00C47D2C">
        <w:rPr>
          <w:lang w:val="en-GB" w:eastAsia="ja-JP"/>
        </w:rPr>
        <w:t xml:space="preserve">signals/channels, </w:t>
      </w:r>
      <w:r>
        <w:rPr>
          <w:lang w:val="en-GB" w:eastAsia="ja-JP"/>
        </w:rPr>
        <w:t>e.g., PUCCH</w:t>
      </w:r>
      <w:r w:rsidR="00100246">
        <w:rPr>
          <w:lang w:val="en-GB" w:eastAsia="ja-JP"/>
        </w:rPr>
        <w:t xml:space="preserve">, </w:t>
      </w:r>
      <w:r>
        <w:rPr>
          <w:lang w:val="en-GB" w:eastAsia="ja-JP"/>
        </w:rPr>
        <w:t>periodic SRS</w:t>
      </w:r>
      <w:r w:rsidR="00100246">
        <w:rPr>
          <w:lang w:val="en-GB" w:eastAsia="ja-JP"/>
        </w:rPr>
        <w:t>, or RACH</w:t>
      </w:r>
      <w:r>
        <w:rPr>
          <w:lang w:val="en-GB" w:eastAsia="ja-JP"/>
        </w:rPr>
        <w:t>. For example</w:t>
      </w:r>
      <w:r w:rsidR="00C47D2C">
        <w:rPr>
          <w:lang w:val="en-GB" w:eastAsia="ja-JP"/>
        </w:rPr>
        <w:t xml:space="preserve">, configuration of a </w:t>
      </w:r>
      <w:r>
        <w:rPr>
          <w:lang w:val="en-GB" w:eastAsia="ja-JP"/>
        </w:rPr>
        <w:t>14 symbol PUCCH with Format 3 is typical</w:t>
      </w:r>
      <w:r w:rsidR="00C47D2C">
        <w:rPr>
          <w:lang w:val="en-GB" w:eastAsia="ja-JP"/>
        </w:rPr>
        <w:t>. If a more stringent rule is adopted that the gNB must avoid this configuration, it would mean that the (1) the gNB needs to configure additional, shorter PUCCH resources (increases UE and gNB complexity)</w:t>
      </w:r>
      <w:r w:rsidR="00442679">
        <w:rPr>
          <w:lang w:val="en-GB" w:eastAsia="ja-JP"/>
        </w:rPr>
        <w:t>,</w:t>
      </w:r>
      <w:r w:rsidR="00C47D2C">
        <w:rPr>
          <w:lang w:val="en-GB" w:eastAsia="ja-JP"/>
        </w:rPr>
        <w:t xml:space="preserve"> or (2) the gNB needs to avoid (by scheduling) that the UE transmits PUCCH in a slot where an FDD </w:t>
      </w:r>
      <w:r w:rsidR="00C47D2C" w:rsidRPr="00C47D2C">
        <w:rPr>
          <w:lang w:val="en-GB" w:eastAsia="ja-JP"/>
        </w:rPr>
        <w:sym w:font="Wingdings" w:char="F0E8"/>
      </w:r>
      <w:r w:rsidR="00C47D2C">
        <w:rPr>
          <w:lang w:val="en-GB" w:eastAsia="ja-JP"/>
        </w:rPr>
        <w:t xml:space="preserve"> SDL switch occurs (undesirable scheduling restriction). Since both (1) and (2) have drawbacks, we prefer instead to specify a rule that if </w:t>
      </w:r>
      <w:r w:rsidR="00BE3679">
        <w:rPr>
          <w:lang w:val="en-GB" w:eastAsia="ja-JP"/>
        </w:rPr>
        <w:t xml:space="preserve">at least an UL </w:t>
      </w:r>
      <w:r w:rsidR="00C47D2C">
        <w:rPr>
          <w:lang w:val="en-GB" w:eastAsia="ja-JP"/>
        </w:rPr>
        <w:t>a signal/channel overlaps the switching gap, then the UE omits transmission of those symbols that overlap.</w:t>
      </w:r>
    </w:p>
    <w:p w14:paraId="0751E1F2" w14:textId="347F5D81" w:rsidR="003F7876" w:rsidRDefault="00E80200" w:rsidP="003F7876">
      <w:pPr>
        <w:pStyle w:val="Proposal"/>
        <w:rPr>
          <w:lang w:val="en-GB"/>
        </w:rPr>
      </w:pPr>
      <w:bookmarkStart w:id="12" w:name="_Toc197695907"/>
      <w:r w:rsidRPr="003F7876">
        <w:t xml:space="preserve">For switching from the </w:t>
      </w:r>
      <w:r w:rsidR="003F7876" w:rsidRPr="003F7876">
        <w:t>FDD</w:t>
      </w:r>
      <w:r w:rsidRPr="003F7876">
        <w:t xml:space="preserve"> to the </w:t>
      </w:r>
      <w:r w:rsidR="003F7876" w:rsidRPr="003F7876">
        <w:t>SDL</w:t>
      </w:r>
      <w:r w:rsidRPr="003F7876">
        <w:t xml:space="preserve"> carrier,</w:t>
      </w:r>
      <w:r w:rsidR="003F7876" w:rsidRPr="003F7876">
        <w:t xml:space="preserve"> the UE omits</w:t>
      </w:r>
      <w:r w:rsidR="00BE3679">
        <w:t xml:space="preserve"> UL transmission on the FDD carrier</w:t>
      </w:r>
      <w:r w:rsidR="003F7876" w:rsidRPr="003F7876">
        <w:t xml:space="preserve"> in the symbol</w:t>
      </w:r>
      <w:r w:rsidR="003F7876">
        <w:t>(s)</w:t>
      </w:r>
      <w:r w:rsidR="003F7876" w:rsidRPr="003F7876">
        <w:t xml:space="preserve"> that overlap the switching gap.</w:t>
      </w:r>
      <w:r w:rsidR="00BE3679">
        <w:t xml:space="preserve"> FFS: </w:t>
      </w:r>
      <w:proofErr w:type="gramStart"/>
      <w:r w:rsidR="00BE3679">
        <w:t>whether or not</w:t>
      </w:r>
      <w:proofErr w:type="gramEnd"/>
      <w:r w:rsidR="00BE3679">
        <w:t xml:space="preserve"> a similar omission rule is needed for DL reception on the FDD carrier.</w:t>
      </w:r>
      <w:bookmarkEnd w:id="12"/>
    </w:p>
    <w:p w14:paraId="024B6B89" w14:textId="39B6D872" w:rsidR="006D603D" w:rsidRDefault="006D603D" w:rsidP="003F7876">
      <w:pPr>
        <w:pStyle w:val="Heading1"/>
      </w:pPr>
      <w:r>
        <w:t>6</w:t>
      </w:r>
      <w:r>
        <w:tab/>
      </w:r>
      <w:r w:rsidR="009330EB">
        <w:t>Interaction of RACH with Switching Pattern</w:t>
      </w:r>
    </w:p>
    <w:p w14:paraId="212DC2AC" w14:textId="08433DDA" w:rsidR="003F7876" w:rsidRDefault="006D603D" w:rsidP="006D603D">
      <w:pPr>
        <w:jc w:val="both"/>
        <w:rPr>
          <w:lang w:val="en-GB" w:eastAsia="ja-JP"/>
        </w:rPr>
      </w:pPr>
      <w:r>
        <w:rPr>
          <w:lang w:val="en-GB" w:eastAsia="ja-JP"/>
        </w:rPr>
        <w:t xml:space="preserve">In RAN1#120bis, the following proposal was discussed (see FL summary in </w:t>
      </w:r>
      <w:r>
        <w:rPr>
          <w:lang w:val="en-GB" w:eastAsia="ja-JP"/>
        </w:rPr>
        <w:fldChar w:fldCharType="begin"/>
      </w:r>
      <w:r>
        <w:rPr>
          <w:lang w:val="en-GB" w:eastAsia="ja-JP"/>
        </w:rPr>
        <w:instrText xml:space="preserve"> REF _Ref197517563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however, it was not agreed.</w:t>
      </w:r>
    </w:p>
    <w:p w14:paraId="6B6E5B44" w14:textId="77777777" w:rsidR="006D603D" w:rsidRPr="006D603D" w:rsidRDefault="006D603D" w:rsidP="006D603D">
      <w:pPr>
        <w:pStyle w:val="BodyText"/>
        <w:spacing w:after="0"/>
        <w:ind w:left="432"/>
        <w:rPr>
          <w:rFonts w:ascii="Times New Roman" w:hAnsi="Times New Roman" w:cs="Times New Roman"/>
          <w:b/>
          <w:bCs/>
          <w:highlight w:val="yellow"/>
        </w:rPr>
      </w:pPr>
      <w:r w:rsidRPr="006D603D">
        <w:rPr>
          <w:rFonts w:ascii="Times New Roman" w:hAnsi="Times New Roman" w:cs="Times New Roman"/>
          <w:b/>
          <w:bCs/>
          <w:highlight w:val="yellow"/>
        </w:rPr>
        <w:t>Proposal 3-1 for agreement</w:t>
      </w:r>
    </w:p>
    <w:p w14:paraId="03B028C2" w14:textId="2A6E67D6" w:rsidR="006D603D" w:rsidRPr="006D603D" w:rsidRDefault="006D603D" w:rsidP="006D603D">
      <w:pPr>
        <w:spacing w:after="0" w:line="240" w:lineRule="auto"/>
        <w:ind w:left="432"/>
        <w:contextualSpacing/>
        <w:rPr>
          <w:rFonts w:ascii="Times New Roman" w:eastAsia="Times New Roman" w:hAnsi="Times New Roman" w:cs="Times New Roman"/>
          <w:strike/>
          <w:color w:val="000000"/>
          <w:szCs w:val="24"/>
          <w:lang w:eastAsia="zh-CN"/>
        </w:rPr>
      </w:pPr>
      <w:r w:rsidRPr="006D603D">
        <w:rPr>
          <w:rFonts w:ascii="Times New Roman" w:eastAsia="Times New Roman" w:hAnsi="Times New Roman" w:cs="Times New Roman"/>
          <w:szCs w:val="24"/>
          <w:lang w:val="en-GB" w:eastAsia="zh-CN"/>
        </w:rPr>
        <w:t xml:space="preserve">For </w:t>
      </w:r>
      <w:r w:rsidRPr="006D603D">
        <w:rPr>
          <w:rFonts w:ascii="Times New Roman" w:eastAsia="Times New Roman" w:hAnsi="Times New Roman" w:cs="Times New Roman"/>
          <w:szCs w:val="24"/>
          <w:lang w:eastAsia="zh-CN"/>
        </w:rPr>
        <w:t xml:space="preserve">Rel-19 low NR band carrier aggregation via switching, when NW configures </w:t>
      </w:r>
      <w:r w:rsidRPr="006D603D">
        <w:rPr>
          <w:rFonts w:ascii="Times New Roman" w:eastAsia="Times New Roman" w:hAnsi="Times New Roman" w:cs="Times New Roman"/>
          <w:color w:val="000000"/>
          <w:szCs w:val="24"/>
          <w:lang w:eastAsia="zh-CN"/>
        </w:rPr>
        <w:t>a</w:t>
      </w:r>
      <w:r w:rsidRPr="006D603D">
        <w:rPr>
          <w:rFonts w:ascii="Times New Roman" w:eastAsia="Times New Roman" w:hAnsi="Times New Roman" w:cs="Times New Roman"/>
          <w:szCs w:val="24"/>
          <w:lang w:eastAsia="zh-CN"/>
        </w:rPr>
        <w:t xml:space="preserve"> semi-static switching pattern to a </w:t>
      </w:r>
      <w:r w:rsidRPr="006D603D">
        <w:rPr>
          <w:rFonts w:ascii="Times New Roman" w:eastAsia="Times New Roman" w:hAnsi="Times New Roman" w:cs="Times New Roman"/>
          <w:color w:val="000000"/>
          <w:szCs w:val="24"/>
          <w:lang w:eastAsia="zh-CN"/>
        </w:rPr>
        <w:t xml:space="preserve">UE, </w:t>
      </w:r>
      <w:r w:rsidRPr="006D603D">
        <w:rPr>
          <w:rFonts w:ascii="Times New Roman" w:eastAsia="Yu Mincho" w:hAnsi="Times New Roman" w:cs="Times New Roman" w:hint="eastAsia"/>
          <w:szCs w:val="24"/>
          <w:lang w:eastAsia="ja-JP"/>
        </w:rPr>
        <w:t>RAN1 does not</w:t>
      </w:r>
      <w:r w:rsidRPr="006D603D">
        <w:rPr>
          <w:rFonts w:ascii="Times New Roman" w:eastAsia="Yu Mincho" w:hAnsi="Times New Roman" w:cs="Times New Roman"/>
          <w:szCs w:val="24"/>
          <w:lang w:eastAsia="ja-JP"/>
        </w:rPr>
        <w:t xml:space="preserve"> support</w:t>
      </w:r>
      <w:r w:rsidRPr="006D603D">
        <w:rPr>
          <w:rFonts w:ascii="Times New Roman" w:eastAsia="Yu Mincho" w:hAnsi="Times New Roman" w:cs="Times New Roman" w:hint="eastAsia"/>
          <w:szCs w:val="24"/>
          <w:lang w:eastAsia="ja-JP"/>
        </w:rPr>
        <w:t xml:space="preserve"> </w:t>
      </w:r>
      <w:r w:rsidRPr="006D603D">
        <w:rPr>
          <w:rFonts w:ascii="Times New Roman" w:eastAsia="Times New Roman" w:hAnsi="Times New Roman" w:cs="Times New Roman"/>
          <w:szCs w:val="24"/>
          <w:lang w:eastAsia="zh-CN"/>
        </w:rPr>
        <w:t>the UE</w:t>
      </w:r>
      <w:r w:rsidRPr="006D603D">
        <w:rPr>
          <w:rFonts w:ascii="Times New Roman" w:eastAsia="Times New Roman" w:hAnsi="Times New Roman" w:cs="Times New Roman"/>
          <w:color w:val="000000"/>
          <w:szCs w:val="24"/>
          <w:lang w:eastAsia="zh-CN"/>
        </w:rPr>
        <w:t xml:space="preserve"> to perform additional switching not following the semi-static switching pattern</w:t>
      </w:r>
    </w:p>
    <w:p w14:paraId="18184111" w14:textId="77777777" w:rsidR="006D603D" w:rsidRPr="006D603D" w:rsidRDefault="006D603D" w:rsidP="006D603D">
      <w:pPr>
        <w:numPr>
          <w:ilvl w:val="0"/>
          <w:numId w:val="26"/>
        </w:numPr>
        <w:spacing w:after="0" w:line="240" w:lineRule="auto"/>
        <w:ind w:left="1152"/>
        <w:contextualSpacing/>
        <w:rPr>
          <w:rFonts w:ascii="Times New Roman" w:eastAsia="Batang" w:hAnsi="Times New Roman" w:cs="Times New Roman"/>
          <w:color w:val="000000"/>
          <w:szCs w:val="24"/>
          <w:lang w:eastAsia="zh-CN"/>
        </w:rPr>
      </w:pPr>
      <w:r w:rsidRPr="006D603D">
        <w:rPr>
          <w:rFonts w:ascii="Times New Roman" w:eastAsia="Batang" w:hAnsi="Times New Roman" w:cs="Times New Roman"/>
          <w:color w:val="000000"/>
          <w:szCs w:val="24"/>
          <w:lang w:eastAsia="zh-CN"/>
        </w:rPr>
        <w:t>FFS: whether and, if needed, how to support the only candidate exceptional scenario, i.e., RACH</w:t>
      </w:r>
    </w:p>
    <w:p w14:paraId="5BF4C0CB" w14:textId="77777777" w:rsidR="00D7054F" w:rsidRDefault="00D7054F" w:rsidP="000E7C9E">
      <w:pPr>
        <w:pStyle w:val="BodyText"/>
      </w:pPr>
    </w:p>
    <w:p w14:paraId="23225969" w14:textId="699C9A60" w:rsidR="000E7C9E" w:rsidRDefault="00D7054F" w:rsidP="000E7C9E">
      <w:pPr>
        <w:pStyle w:val="BodyText"/>
      </w:pPr>
      <w:r>
        <w:t>Here we</w:t>
      </w:r>
      <w:r w:rsidR="009330EB">
        <w:t xml:space="preserve"> discuss the </w:t>
      </w:r>
      <w:r>
        <w:t xml:space="preserve">FFS regarding the </w:t>
      </w:r>
      <w:r w:rsidR="009330EB">
        <w:t xml:space="preserve">interaction of RACH with the </w:t>
      </w:r>
      <w:r w:rsidR="000E7C9E">
        <w:t xml:space="preserve">configured </w:t>
      </w:r>
      <w:r w:rsidR="009330EB">
        <w:t>switching pattern.</w:t>
      </w:r>
      <w:r w:rsidR="000E7C9E">
        <w:t xml:space="preserve"> We emphasize that the context is for a RACH procedure executed for UEs in RRC_CONNECTED mode</w:t>
      </w:r>
      <w:r w:rsidR="00EA295B">
        <w:t xml:space="preserve"> and with the SDL SCell in activated state since that is the only case where the switching pattern is applied according to the LS from RAN4 in </w:t>
      </w:r>
      <w:r w:rsidR="003C5BFB">
        <w:fldChar w:fldCharType="begin"/>
      </w:r>
      <w:r w:rsidR="003C5BFB">
        <w:instrText xml:space="preserve"> REF _Ref197522541 \r \h </w:instrText>
      </w:r>
      <w:r w:rsidR="003C5BFB">
        <w:fldChar w:fldCharType="separate"/>
      </w:r>
      <w:r w:rsidR="003C5BFB">
        <w:t>[6]</w:t>
      </w:r>
      <w:r w:rsidR="003C5BFB">
        <w:fldChar w:fldCharType="end"/>
      </w:r>
      <w:r w:rsidR="000E7C9E">
        <w:t xml:space="preserve">. We note that both legacy UEs and UEs supporting the Rel-19 LB CA via switching feature will make use of the same set of </w:t>
      </w:r>
      <w:proofErr w:type="gramStart"/>
      <w:r w:rsidR="000E7C9E">
        <w:t>cell</w:t>
      </w:r>
      <w:proofErr w:type="gramEnd"/>
      <w:r w:rsidR="000E7C9E">
        <w:t>-specifically configured RACH occasions</w:t>
      </w:r>
      <w:r w:rsidR="00025658">
        <w:t xml:space="preserve"> (ROs)</w:t>
      </w:r>
      <w:r w:rsidR="000E7C9E">
        <w:t xml:space="preserve">. A common RACH configuration seen in the field uses a PRACH configuration period of 10 ms, which means there can end up being </w:t>
      </w:r>
      <w:r w:rsidR="00025658">
        <w:t>many slots within the 40 ms per</w:t>
      </w:r>
      <w:r w:rsidR="00E22959">
        <w:t>iod</w:t>
      </w:r>
      <w:r w:rsidR="00025658">
        <w:t xml:space="preserve"> of the switching pattern that are occupied by the cell-specifically configured ROs, </w:t>
      </w:r>
      <w:r w:rsidR="000E7C9E">
        <w:t xml:space="preserve">especially for the long </w:t>
      </w:r>
      <w:r w:rsidR="00025658">
        <w:t xml:space="preserve">PRACH </w:t>
      </w:r>
      <w:r w:rsidR="000E7C9E">
        <w:t>format</w:t>
      </w:r>
      <w:r w:rsidR="00025658">
        <w:t xml:space="preserve">s. </w:t>
      </w:r>
      <w:r w:rsidR="000E7C9E">
        <w:t>In principle, the gNB could configure the switching pattern such that all UEs switch back to the FDD PCell for every RO</w:t>
      </w:r>
      <w:r w:rsidR="00025658">
        <w:t xml:space="preserve"> and remain on the PCell sufficiently long to receive the RAR. </w:t>
      </w:r>
      <w:proofErr w:type="spellStart"/>
      <w:r w:rsidR="00025658">
        <w:t>Howwever</w:t>
      </w:r>
      <w:proofErr w:type="spellEnd"/>
      <w:r w:rsidR="00025658">
        <w:t xml:space="preserve">, this means that the SDL carrier is not used efficiently (more </w:t>
      </w:r>
      <w:r w:rsidR="00025658" w:rsidRPr="00F7636D">
        <w:rPr>
          <w:rFonts w:cs="Arial"/>
          <w:color w:val="FFC000"/>
          <w:szCs w:val="20"/>
          <w:lang w:val="en-GB" w:eastAsia="ja-JP"/>
        </w:rPr>
        <w:t>orange</w:t>
      </w:r>
      <w:r w:rsidR="00025658">
        <w:rPr>
          <w:rFonts w:cs="Arial"/>
          <w:color w:val="FFC000"/>
          <w:szCs w:val="20"/>
          <w:lang w:val="en-GB" w:eastAsia="ja-JP"/>
        </w:rPr>
        <w:t xml:space="preserve"> slots </w:t>
      </w:r>
      <w:r w:rsidR="00025658">
        <w:rPr>
          <w:rFonts w:cs="Arial"/>
          <w:szCs w:val="20"/>
          <w:lang w:val="en-GB" w:eastAsia="ja-JP"/>
        </w:rPr>
        <w:t>in</w:t>
      </w:r>
      <w:r w:rsidR="00025658" w:rsidRPr="00E06E73">
        <w:rPr>
          <w:rFonts w:cs="Arial"/>
          <w:szCs w:val="20"/>
          <w:lang w:val="en-GB" w:eastAsia="ja-JP"/>
        </w:rPr>
        <w:t xml:space="preserve"> </w:t>
      </w:r>
      <w:r w:rsidR="00025658" w:rsidRPr="00E06E73">
        <w:rPr>
          <w:rFonts w:cs="Arial"/>
          <w:szCs w:val="20"/>
          <w:lang w:val="en-GB" w:eastAsia="ja-JP"/>
        </w:rPr>
        <w:fldChar w:fldCharType="begin"/>
      </w:r>
      <w:r w:rsidR="00025658" w:rsidRPr="00E06E73">
        <w:rPr>
          <w:rFonts w:cs="Arial"/>
          <w:szCs w:val="20"/>
          <w:lang w:val="en-GB" w:eastAsia="ja-JP"/>
        </w:rPr>
        <w:instrText xml:space="preserve"> REF _Ref193824589 \h  \* MERGEFORMAT </w:instrText>
      </w:r>
      <w:r w:rsidR="00025658" w:rsidRPr="00E06E73">
        <w:rPr>
          <w:rFonts w:cs="Arial"/>
          <w:szCs w:val="20"/>
          <w:lang w:val="en-GB" w:eastAsia="ja-JP"/>
        </w:rPr>
      </w:r>
      <w:r w:rsidR="00025658" w:rsidRPr="00E06E73">
        <w:rPr>
          <w:rFonts w:cs="Arial"/>
          <w:szCs w:val="20"/>
          <w:lang w:val="en-GB" w:eastAsia="ja-JP"/>
        </w:rPr>
        <w:fldChar w:fldCharType="separate"/>
      </w:r>
      <w:r w:rsidR="00025658" w:rsidRPr="00E06E73">
        <w:rPr>
          <w:rFonts w:cs="Arial"/>
          <w:szCs w:val="20"/>
        </w:rPr>
        <w:t xml:space="preserve">Figure </w:t>
      </w:r>
      <w:r w:rsidR="00025658" w:rsidRPr="00E06E73">
        <w:rPr>
          <w:rFonts w:cs="Arial"/>
          <w:noProof/>
          <w:szCs w:val="20"/>
        </w:rPr>
        <w:t>3</w:t>
      </w:r>
      <w:r w:rsidR="00025658" w:rsidRPr="00E06E73">
        <w:rPr>
          <w:rFonts w:cs="Arial"/>
          <w:szCs w:val="20"/>
          <w:lang w:val="en-GB" w:eastAsia="ja-JP"/>
        </w:rPr>
        <w:fldChar w:fldCharType="end"/>
      </w:r>
      <w:r w:rsidR="00025658">
        <w:t xml:space="preserve"> where all UEs switch back to the FDD carrier).</w:t>
      </w:r>
    </w:p>
    <w:p w14:paraId="4F9398E2" w14:textId="5394D356" w:rsidR="00B31143" w:rsidRDefault="00025658" w:rsidP="000E7C9E">
      <w:pPr>
        <w:pStyle w:val="BodyText"/>
      </w:pPr>
      <w:r>
        <w:t xml:space="preserve">To avoid </w:t>
      </w:r>
      <w:r w:rsidR="00E22959">
        <w:t>this</w:t>
      </w:r>
      <w:r>
        <w:t xml:space="preserve"> issue, while not affecting the cell-specific RACH configuration used by legacy UEs, we think </w:t>
      </w:r>
      <w:r w:rsidR="00B31143">
        <w:t xml:space="preserve">that for a Rel-19 UE configured with a switching pattern, if an RO occurs </w:t>
      </w:r>
      <w:r w:rsidR="00100246">
        <w:t xml:space="preserve">in a slot on which the UE is on the SDL carrier, </w:t>
      </w:r>
      <w:r w:rsidR="00B31143">
        <w:t xml:space="preserve">then </w:t>
      </w:r>
      <w:r w:rsidR="003C5BFB">
        <w:t xml:space="preserve">the </w:t>
      </w:r>
      <w:r w:rsidR="00B31143">
        <w:t>UE shall not transmit PRACH</w:t>
      </w:r>
      <w:r w:rsidR="00100246">
        <w:t xml:space="preserve"> in that RO</w:t>
      </w:r>
      <w:r w:rsidR="00B31143">
        <w:t xml:space="preserve">. </w:t>
      </w:r>
      <w:r w:rsidR="003C5BFB">
        <w:t xml:space="preserve">One important thing to note is </w:t>
      </w:r>
      <w:r w:rsidR="00B31143">
        <w:t>that</w:t>
      </w:r>
      <w:r w:rsidR="003C5BFB">
        <w:t xml:space="preserve"> in</w:t>
      </w:r>
      <w:r w:rsidR="00B31143">
        <w:t xml:space="preserve"> current specifications (see 38.213 Section 8.1), for paired spectrum (FDD) all PRACH occasions are valid:</w:t>
      </w:r>
    </w:p>
    <w:p w14:paraId="3A2C60F5" w14:textId="77777777" w:rsidR="00B31143" w:rsidRPr="00B31143" w:rsidRDefault="00B31143" w:rsidP="00B31143">
      <w:pPr>
        <w:spacing w:after="180" w:line="240" w:lineRule="auto"/>
        <w:ind w:left="567"/>
        <w:rPr>
          <w:rFonts w:ascii="Times New Roman" w:eastAsia="SimSun" w:hAnsi="Times New Roman" w:cs="Times New Roman"/>
          <w:szCs w:val="20"/>
          <w:lang w:val="en-GB"/>
        </w:rPr>
      </w:pPr>
      <w:r w:rsidRPr="00B31143">
        <w:rPr>
          <w:rFonts w:ascii="Times New Roman" w:eastAsia="SimSun" w:hAnsi="Times New Roman" w:cs="Times New Roman"/>
          <w:szCs w:val="20"/>
          <w:lang w:val="en-GB"/>
        </w:rPr>
        <w:t xml:space="preserve">For paired spectrum </w:t>
      </w:r>
      <w:r w:rsidRPr="00B31143">
        <w:rPr>
          <w:rFonts w:ascii="Times New Roman" w:eastAsia="Times New Roman" w:hAnsi="Times New Roman" w:cs="Times New Roman"/>
          <w:szCs w:val="20"/>
          <w:lang w:val="en-GB"/>
        </w:rPr>
        <w:t>or supplementary uplink band</w:t>
      </w:r>
      <w:r w:rsidRPr="00B31143">
        <w:rPr>
          <w:rFonts w:ascii="Times New Roman" w:eastAsia="SimSun" w:hAnsi="Times New Roman" w:cs="Times New Roman"/>
          <w:szCs w:val="20"/>
          <w:lang w:val="en-GB"/>
        </w:rPr>
        <w:t xml:space="preserve"> all PRACH occasions are valid. </w:t>
      </w:r>
    </w:p>
    <w:p w14:paraId="7AD43619" w14:textId="6315F971" w:rsidR="00B31143" w:rsidRDefault="00B31143" w:rsidP="000E7C9E">
      <w:pPr>
        <w:pStyle w:val="BodyText"/>
      </w:pPr>
      <w:r>
        <w:t>We do not propose to change this, since we do</w:t>
      </w:r>
      <w:r w:rsidR="00EA295B">
        <w:t xml:space="preserve">n’t think it is necessary or a good idea to </w:t>
      </w:r>
      <w:r>
        <w:t>affect the association of SSBs to ROs which in current specifications is based on valid RO</w:t>
      </w:r>
      <w:r w:rsidR="00EA295B">
        <w:t>s. If that was changed, it would mean that the mapping of SSBs to ROs would be different for legacy UEs vs. UEs supporting switching</w:t>
      </w:r>
      <w:r w:rsidR="003C5BFB">
        <w:t xml:space="preserve"> which is undesirable.</w:t>
      </w:r>
    </w:p>
    <w:p w14:paraId="3F39A6FF" w14:textId="1AEEDD16" w:rsidR="003C5BFB" w:rsidRDefault="003C5BFB" w:rsidP="00D7054F">
      <w:pPr>
        <w:pStyle w:val="Proposal"/>
      </w:pPr>
      <w:bookmarkStart w:id="13" w:name="_Toc197695908"/>
      <w:r>
        <w:t xml:space="preserve">For a UE in CONNECTED mode when the SDL SCell is in activated state, if a PRACH occasion occurs in a slot </w:t>
      </w:r>
      <w:r w:rsidR="00E22959">
        <w:t xml:space="preserve">for which the switching pattern indicates the </w:t>
      </w:r>
      <w:r>
        <w:t xml:space="preserve">SDL carrier, the UE </w:t>
      </w:r>
      <w:r>
        <w:lastRenderedPageBreak/>
        <w:t xml:space="preserve">shall not transmit PRACH. Note: this does not imply that the definition of valid PRACH </w:t>
      </w:r>
      <w:r w:rsidR="00DD3C9D">
        <w:t>occasions</w:t>
      </w:r>
      <w:r>
        <w:t xml:space="preserve"> in current specifications is changed.</w:t>
      </w:r>
      <w:bookmarkEnd w:id="13"/>
      <w:r>
        <w:t xml:space="preserve"> </w:t>
      </w:r>
    </w:p>
    <w:p w14:paraId="135DB08C" w14:textId="57E9AA36" w:rsidR="00A94D73" w:rsidRDefault="00A94D73" w:rsidP="000E7C9E">
      <w:pPr>
        <w:pStyle w:val="BodyText"/>
      </w:pPr>
      <w:r>
        <w:t>We note that this proposal does not prevent the gNB</w:t>
      </w:r>
      <w:r w:rsidR="003C5BFB">
        <w:t xml:space="preserve"> </w:t>
      </w:r>
      <w:r>
        <w:t xml:space="preserve">from </w:t>
      </w:r>
      <w:r w:rsidR="003C5BFB">
        <w:t>configur</w:t>
      </w:r>
      <w:r>
        <w:t>ing</w:t>
      </w:r>
      <w:r w:rsidR="003C5BFB">
        <w:t xml:space="preserve"> a switching pattern such that a UE is </w:t>
      </w:r>
      <w:r>
        <w:t>always on the FDD</w:t>
      </w:r>
      <w:r w:rsidR="003C5BFB">
        <w:t xml:space="preserve"> carrier during a slot containing an RO</w:t>
      </w:r>
      <w:r>
        <w:t>, if that is what is desired</w:t>
      </w:r>
      <w:r w:rsidR="00D7054F">
        <w:t>.</w:t>
      </w:r>
      <w:r>
        <w:t xml:space="preserve"> In essence it gives the gNB flexibility to configure switch back or enable skipping of a subset of ROs.</w:t>
      </w:r>
    </w:p>
    <w:p w14:paraId="613199A9" w14:textId="35E9E7C6" w:rsidR="00D7054F" w:rsidRDefault="00A94D73" w:rsidP="00D7054F">
      <w:pPr>
        <w:jc w:val="both"/>
        <w:rPr>
          <w:lang w:val="en-GB" w:eastAsia="ja-JP"/>
        </w:rPr>
      </w:pPr>
      <w:r>
        <w:rPr>
          <w:lang w:val="en-GB" w:eastAsia="ja-JP"/>
        </w:rPr>
        <w:t>Outside of the context of RACH,</w:t>
      </w:r>
      <w:r w:rsidR="00D7054F">
        <w:rPr>
          <w:lang w:val="en-GB" w:eastAsia="ja-JP"/>
        </w:rPr>
        <w:t xml:space="preserve"> we </w:t>
      </w:r>
      <w:r>
        <w:rPr>
          <w:lang w:val="en-GB" w:eastAsia="ja-JP"/>
        </w:rPr>
        <w:t xml:space="preserve">generally </w:t>
      </w:r>
      <w:r w:rsidR="00D7054F">
        <w:rPr>
          <w:lang w:val="en-GB" w:eastAsia="ja-JP"/>
        </w:rPr>
        <w:t xml:space="preserve">support the notion that if the UE is configured with a semi-static switching pattern, it shall not autonomously perform additional switching that would violate the configured switching pattern. Otherwise, we it would contradict the WID </w:t>
      </w:r>
      <w:proofErr w:type="spellStart"/>
      <w:r w:rsidR="00D7054F">
        <w:rPr>
          <w:lang w:val="en-GB" w:eastAsia="ja-JP"/>
        </w:rPr>
        <w:t>sthat</w:t>
      </w:r>
      <w:proofErr w:type="spellEnd"/>
      <w:r w:rsidR="00D7054F">
        <w:rPr>
          <w:lang w:val="en-GB" w:eastAsia="ja-JP"/>
        </w:rPr>
        <w:t xml:space="preserve"> states “</w:t>
      </w:r>
      <w:r w:rsidR="00D7054F" w:rsidRPr="006D603D">
        <w:rPr>
          <w:lang w:val="en-GB" w:eastAsia="ja-JP"/>
        </w:rPr>
        <w:t>RAN1 to specify only a semi-static switching pattern based on RRC configuration</w:t>
      </w:r>
      <w:r w:rsidR="00D7054F">
        <w:rPr>
          <w:lang w:val="en-GB" w:eastAsia="ja-JP"/>
        </w:rPr>
        <w:t>.”</w:t>
      </w:r>
      <w:r>
        <w:rPr>
          <w:lang w:val="en-GB" w:eastAsia="ja-JP"/>
        </w:rPr>
        <w:t xml:space="preserve"> </w:t>
      </w:r>
    </w:p>
    <w:p w14:paraId="46E0D21E" w14:textId="77777777" w:rsidR="00D7054F" w:rsidRPr="009330EB" w:rsidRDefault="00D7054F" w:rsidP="00D7054F">
      <w:pPr>
        <w:pStyle w:val="Proposal"/>
      </w:pPr>
      <w:bookmarkStart w:id="14" w:name="_Ref197519355"/>
      <w:bookmarkStart w:id="15" w:name="_Toc197695909"/>
      <w:r w:rsidRPr="009330EB">
        <w:t xml:space="preserve">For </w:t>
      </w:r>
      <w:proofErr w:type="spellStart"/>
      <w:r w:rsidRPr="009330EB">
        <w:t>lowband</w:t>
      </w:r>
      <w:proofErr w:type="spellEnd"/>
      <w:r w:rsidRPr="009330EB">
        <w:t xml:space="preserve"> carrier aggregation via switching, when the UE is configured with a semi-static switching pattern, the UE shall not perform additional switching that violates the configured switching pattern.</w:t>
      </w:r>
      <w:bookmarkEnd w:id="14"/>
      <w:bookmarkEnd w:id="15"/>
    </w:p>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CF3015" w14:textId="63D71C46" w:rsidR="007216BB" w:rsidRDefault="006F65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5899" w:history="1">
        <w:r w:rsidR="007216BB" w:rsidRPr="00B742BF">
          <w:rPr>
            <w:rStyle w:val="Hyperlink"/>
            <w:noProof/>
            <w:lang w:val="en-GB"/>
          </w:rPr>
          <w:t>Observation 1</w:t>
        </w:r>
        <w:r w:rsidR="007216BB">
          <w:rPr>
            <w:rFonts w:asciiTheme="minorHAnsi" w:eastAsiaTheme="minorEastAsia" w:hAnsiTheme="minorHAnsi"/>
            <w:b w:val="0"/>
            <w:noProof/>
            <w:kern w:val="2"/>
            <w:sz w:val="24"/>
            <w:szCs w:val="24"/>
            <w:lang w:eastAsia="en-US"/>
            <w14:ligatures w14:val="standardContextual"/>
          </w:rPr>
          <w:tab/>
        </w:r>
        <w:r w:rsidR="007216BB" w:rsidRPr="00B742BF">
          <w:rPr>
            <w:rStyle w:val="Hyperlink"/>
            <w:noProof/>
          </w:rPr>
          <w:t>For switching from the SDL to the FDD carrier, there is no need to specify any UL dropping rules to handle overlap of the switching gap with the UL transmission on the FDD carrier since the network ensures that the switching gap is configured large enough to cover at least the switching period and timing advance.</w:t>
        </w:r>
      </w:hyperlink>
    </w:p>
    <w:p w14:paraId="6225A1B8" w14:textId="0C7465BB"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89CF429" w14:textId="77D166E8" w:rsidR="007216BB"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7695902" w:history="1">
        <w:r w:rsidR="007216BB" w:rsidRPr="00676F9E">
          <w:rPr>
            <w:rStyle w:val="Hyperlink"/>
            <w:noProof/>
            <w:lang w:val="en-GB"/>
          </w:rPr>
          <w:t>Proposal 1</w:t>
        </w:r>
        <w:r w:rsidR="007216BB">
          <w:rPr>
            <w:rFonts w:asciiTheme="minorHAnsi" w:eastAsiaTheme="minorEastAsia" w:hAnsiTheme="minorHAnsi"/>
            <w:b w:val="0"/>
            <w:noProof/>
            <w:kern w:val="2"/>
            <w:sz w:val="24"/>
            <w:szCs w:val="24"/>
            <w:lang w:eastAsia="en-US"/>
            <w14:ligatures w14:val="standardContextual"/>
          </w:rPr>
          <w:tab/>
        </w:r>
        <w:r w:rsidR="007216BB" w:rsidRPr="00676F9E">
          <w:rPr>
            <w:rStyle w:val="Hyperlink"/>
            <w:noProof/>
            <w:lang w:val="en-GB"/>
          </w:rPr>
          <w:t>Do not specify the maximum number of switches X within a time period Y</w:t>
        </w:r>
      </w:hyperlink>
    </w:p>
    <w:p w14:paraId="784F90BF" w14:textId="57F274AC"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3" w:history="1">
        <w:r w:rsidRPr="00676F9E">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676F9E">
          <w:rPr>
            <w:rStyle w:val="Hyperlink"/>
            <w:noProof/>
            <w:lang w:val="en-GB"/>
          </w:rPr>
          <w:t>If it is needed to specify the maximum number of switches X within a time period Y, then support Y = 40 (equal to the 40 ms pattern period) and support X to be no less than X = 10.</w:t>
        </w:r>
      </w:hyperlink>
    </w:p>
    <w:p w14:paraId="1F70F702" w14:textId="4F243BD4"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4" w:history="1">
        <w:r w:rsidRPr="00676F9E">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676F9E">
          <w:rPr>
            <w:rStyle w:val="Hyperlink"/>
            <w:noProof/>
            <w:lang w:val="en-GB"/>
          </w:rPr>
          <w:t>Do not specify other restrictions on the switching pattern.</w:t>
        </w:r>
      </w:hyperlink>
    </w:p>
    <w:p w14:paraId="4BC0D8E0" w14:textId="041FE1FB"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5" w:history="1">
        <w:r w:rsidRPr="00676F9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676F9E">
          <w:rPr>
            <w:rStyle w:val="Hyperlink"/>
            <w:noProof/>
          </w:rPr>
          <w:t>For switching from FDD carrier to SDL carrier, the switching gap is always assumed to be on the “switch from” carrier, i.e., FDD carrier (Alt-1 in the RAN1#120bis agreement).</w:t>
        </w:r>
      </w:hyperlink>
    </w:p>
    <w:p w14:paraId="404CD85A" w14:textId="1A7D320B"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6" w:history="1">
        <w:r w:rsidRPr="00676F9E">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676F9E">
          <w:rPr>
            <w:rStyle w:val="Hyperlink"/>
            <w:noProof/>
          </w:rPr>
          <w:t>For switching from FDD carrier to SDL carrier, the switching gap ends at the end of the slot on the FDD carrier. Note: as previously agreed, the timing reference for configuration of the switching gap is based on the downlink timing of the PCell.</w:t>
        </w:r>
      </w:hyperlink>
    </w:p>
    <w:p w14:paraId="5F14B967" w14:textId="18BEAAC3"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7" w:history="1">
        <w:r w:rsidRPr="00676F9E">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676F9E">
          <w:rPr>
            <w:rStyle w:val="Hyperlink"/>
            <w:noProof/>
          </w:rPr>
          <w:t>For switching from the FDD to the SDL carrier, the UE omits UL transmission on the FDD carrier in the symbol(s) that overlap the switching gap. FFS: whether or not a similar omission rule is needed for DL reception on the FDD carrier.</w:t>
        </w:r>
      </w:hyperlink>
    </w:p>
    <w:p w14:paraId="391993E9" w14:textId="3A1E04C3"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8" w:history="1">
        <w:r w:rsidRPr="00676F9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676F9E">
          <w:rPr>
            <w:rStyle w:val="Hyperlink"/>
            <w:noProof/>
          </w:rPr>
          <w:t>For a UE in CONNECTED mode when the SDL SCell is in activated state, if a PRACH occasion occurs in a slot for which the switching pattern indicates the SDL carrier, the UE shall not transmit PRACH. Note: this does not imply that the definition of valid PRACH occasions in current specifications is changed.</w:t>
        </w:r>
      </w:hyperlink>
    </w:p>
    <w:p w14:paraId="254C3646" w14:textId="7D0B451D" w:rsidR="007216BB" w:rsidRDefault="007216BB">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7695909" w:history="1">
        <w:r w:rsidRPr="00676F9E">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676F9E">
          <w:rPr>
            <w:rStyle w:val="Hyperlink"/>
            <w:noProof/>
          </w:rPr>
          <w:t>For lowband carrier aggregation via switching, when the UE is configured with a semi-static switching pattern, the UE shall not perform additional switching that violates the configured switching pattern.</w:t>
        </w:r>
      </w:hyperlink>
    </w:p>
    <w:p w14:paraId="58ACA235" w14:textId="77CAF318"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16" w:name="_In-sequence_SDU_delivery"/>
      <w:bookmarkEnd w:id="16"/>
      <w:r w:rsidRPr="00B27750">
        <w:rPr>
          <w:lang w:val="en-US"/>
        </w:rPr>
        <w:t>References</w:t>
      </w:r>
    </w:p>
    <w:p w14:paraId="61907C25" w14:textId="4BAA5522" w:rsidR="003A7EF3" w:rsidRDefault="00155750" w:rsidP="00155750">
      <w:pPr>
        <w:pStyle w:val="Reference"/>
      </w:pPr>
      <w:r w:rsidRPr="00155750">
        <w:t>RP-243317</w:t>
      </w:r>
      <w:r>
        <w:t>, “</w:t>
      </w:r>
      <w:r w:rsidRPr="00155750">
        <w:t>New WID on low band carrier aggregation via switching</w:t>
      </w:r>
      <w:r>
        <w:t>,” Rapporteur (AT&amp;T), December 2024.</w:t>
      </w:r>
    </w:p>
    <w:p w14:paraId="05D8C0E4" w14:textId="601E1C1F" w:rsidR="007775D5" w:rsidRDefault="007775D5" w:rsidP="00155750">
      <w:pPr>
        <w:pStyle w:val="Reference"/>
      </w:pPr>
      <w:bookmarkStart w:id="17" w:name="_Ref193739184"/>
      <w:r>
        <w:lastRenderedPageBreak/>
        <w:t>RP-241537, “</w:t>
      </w:r>
      <w:r w:rsidRPr="007775D5">
        <w:t>Rx switched nX-n29 low-low carrier aggregation</w:t>
      </w:r>
      <w:r>
        <w:t xml:space="preserve">,” </w:t>
      </w:r>
      <w:r w:rsidRPr="007775D5">
        <w:t>TELUS, Bell Mobility</w:t>
      </w:r>
      <w:r>
        <w:t>, RAN#104, June 2024.</w:t>
      </w:r>
      <w:bookmarkEnd w:id="17"/>
    </w:p>
    <w:p w14:paraId="1894B4B5" w14:textId="48464203" w:rsidR="00E06E73" w:rsidRDefault="007060AD" w:rsidP="00E06E73">
      <w:pPr>
        <w:pStyle w:val="Reference"/>
      </w:pPr>
      <w:bookmarkStart w:id="18" w:name="_Ref193904475"/>
      <w:r>
        <w:t>R1-2501700 (</w:t>
      </w:r>
      <w:r w:rsidR="00E06E73" w:rsidRPr="00E06E73">
        <w:t>R4-2502697</w:t>
      </w:r>
      <w:r>
        <w:t>)</w:t>
      </w:r>
      <w:r w:rsidR="00E06E73">
        <w:t>, “</w:t>
      </w:r>
      <w:r w:rsidR="00E06E73" w:rsidRPr="00E06E73">
        <w:t>LS o</w:t>
      </w:r>
      <w:r w:rsidR="00E06E73">
        <w:t>n</w:t>
      </w:r>
      <w:r w:rsidR="00E06E73" w:rsidRPr="00E06E73">
        <w:t xml:space="preserve"> RAN4 RRM agreements on LB CA via switching</w:t>
      </w:r>
      <w:r w:rsidR="00E06E73">
        <w:t>,” RAN4, February 2025.</w:t>
      </w:r>
      <w:bookmarkEnd w:id="18"/>
    </w:p>
    <w:p w14:paraId="57D99575" w14:textId="4CCC819C" w:rsidR="00E06E73" w:rsidRDefault="007060AD" w:rsidP="00E06E73">
      <w:pPr>
        <w:pStyle w:val="Reference"/>
      </w:pPr>
      <w:bookmarkStart w:id="19" w:name="_Ref193907568"/>
      <w:r>
        <w:t>R1-2501702 (</w:t>
      </w:r>
      <w:r w:rsidR="00E06E73">
        <w:t>R4-</w:t>
      </w:r>
      <w:r w:rsidR="00E06E73" w:rsidRPr="00E06E73">
        <w:t>2502877</w:t>
      </w:r>
      <w:r>
        <w:t>)</w:t>
      </w:r>
      <w:r w:rsidR="00E06E73">
        <w:t>, “</w:t>
      </w:r>
      <w:r w:rsidR="00E06E73" w:rsidRPr="00E06E73">
        <w:t>LS on switching periods for low-low band switching</w:t>
      </w:r>
      <w:r w:rsidR="00E06E73">
        <w:t>,” RAN4, February 2025.</w:t>
      </w:r>
      <w:bookmarkEnd w:id="19"/>
    </w:p>
    <w:p w14:paraId="61BFC9F3" w14:textId="7AAE68D2" w:rsidR="006D603D" w:rsidRDefault="006D603D" w:rsidP="00E06E73">
      <w:pPr>
        <w:pStyle w:val="Reference"/>
      </w:pPr>
      <w:bookmarkStart w:id="20" w:name="_Ref197517563"/>
      <w:r>
        <w:t>R1-2503110, “</w:t>
      </w:r>
      <w:r w:rsidRPr="006D603D">
        <w:t>FL summary #4 of Low band carrier aggregation via switching</w:t>
      </w:r>
      <w:r>
        <w:t>,” Moderator (Apple), April 2025.</w:t>
      </w:r>
      <w:bookmarkEnd w:id="20"/>
    </w:p>
    <w:p w14:paraId="31E9A05E" w14:textId="54C07C5E" w:rsidR="00EA295B" w:rsidRPr="00CE0424" w:rsidRDefault="00EA295B" w:rsidP="00E06E73">
      <w:pPr>
        <w:pStyle w:val="Reference"/>
      </w:pPr>
      <w:bookmarkStart w:id="21" w:name="_Ref197522541"/>
      <w:r>
        <w:t>R</w:t>
      </w:r>
      <w:r w:rsidR="00DE44C4">
        <w:t>1</w:t>
      </w:r>
      <w:r>
        <w:t>-250</w:t>
      </w:r>
      <w:r w:rsidR="00DE44C4">
        <w:t>3215</w:t>
      </w:r>
      <w:r>
        <w:t>, “</w:t>
      </w:r>
      <w:r w:rsidRPr="00EA295B">
        <w:t>LS of RAN4 RRM agreements on LB CA via switching</w:t>
      </w:r>
      <w:r>
        <w:t xml:space="preserve">,” RAN4, </w:t>
      </w:r>
      <w:r w:rsidR="003C5BFB">
        <w:t>RAN4#114bis, April 2025.</w:t>
      </w:r>
      <w:bookmarkEnd w:id="21"/>
    </w:p>
    <w:sectPr w:rsidR="00EA295B" w:rsidRPr="00CE0424" w:rsidSect="003E5114">
      <w:headerReference w:type="even" r:id="rId16"/>
      <w:footerReference w:type="default" r:id="rId17"/>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7"/>
  </w:num>
  <w:num w:numId="2" w16cid:durableId="1349257284">
    <w:abstractNumId w:val="13"/>
  </w:num>
  <w:num w:numId="3" w16cid:durableId="1443456286">
    <w:abstractNumId w:val="0"/>
  </w:num>
  <w:num w:numId="4" w16cid:durableId="890460132">
    <w:abstractNumId w:val="19"/>
  </w:num>
  <w:num w:numId="5" w16cid:durableId="583606529">
    <w:abstractNumId w:val="20"/>
  </w:num>
  <w:num w:numId="6" w16cid:durableId="450562996">
    <w:abstractNumId w:val="8"/>
  </w:num>
  <w:num w:numId="7" w16cid:durableId="772214637">
    <w:abstractNumId w:val="4"/>
  </w:num>
  <w:num w:numId="8" w16cid:durableId="1500537096">
    <w:abstractNumId w:val="25"/>
  </w:num>
  <w:num w:numId="9" w16cid:durableId="173231599">
    <w:abstractNumId w:val="10"/>
  </w:num>
  <w:num w:numId="10" w16cid:durableId="755903588">
    <w:abstractNumId w:val="24"/>
  </w:num>
  <w:num w:numId="11" w16cid:durableId="1304853264">
    <w:abstractNumId w:val="1"/>
  </w:num>
  <w:num w:numId="12" w16cid:durableId="478347608">
    <w:abstractNumId w:val="2"/>
  </w:num>
  <w:num w:numId="13" w16cid:durableId="1831945402">
    <w:abstractNumId w:val="11"/>
  </w:num>
  <w:num w:numId="14" w16cid:durableId="1090543183">
    <w:abstractNumId w:val="16"/>
  </w:num>
  <w:num w:numId="15" w16cid:durableId="1651901064">
    <w:abstractNumId w:val="14"/>
  </w:num>
  <w:num w:numId="16" w16cid:durableId="1619986160">
    <w:abstractNumId w:val="18"/>
  </w:num>
  <w:num w:numId="17" w16cid:durableId="729310949">
    <w:abstractNumId w:val="7"/>
  </w:num>
  <w:num w:numId="18" w16cid:durableId="1267882122">
    <w:abstractNumId w:val="23"/>
  </w:num>
  <w:num w:numId="19" w16cid:durableId="478494706">
    <w:abstractNumId w:val="3"/>
  </w:num>
  <w:num w:numId="20" w16cid:durableId="1833713328">
    <w:abstractNumId w:val="15"/>
  </w:num>
  <w:num w:numId="21" w16cid:durableId="1568765797">
    <w:abstractNumId w:val="22"/>
  </w:num>
  <w:num w:numId="22" w16cid:durableId="1700739850">
    <w:abstractNumId w:val="6"/>
  </w:num>
  <w:num w:numId="23" w16cid:durableId="409037868">
    <w:abstractNumId w:val="5"/>
  </w:num>
  <w:num w:numId="24" w16cid:durableId="1053116408">
    <w:abstractNumId w:val="9"/>
  </w:num>
  <w:num w:numId="25" w16cid:durableId="1749158742">
    <w:abstractNumId w:val="12"/>
  </w:num>
  <w:num w:numId="26" w16cid:durableId="18250045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0D3"/>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51E"/>
    <w:rsid w:val="006A78C8"/>
    <w:rsid w:val="006A7AFF"/>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6D1F"/>
    <w:rsid w:val="00B9768F"/>
    <w:rsid w:val="00B97BEA"/>
    <w:rsid w:val="00BA0277"/>
    <w:rsid w:val="00BA0320"/>
    <w:rsid w:val="00BA05E6"/>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90"/>
    <w:rsid w:val="00DE2961"/>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5NUHHDQN7SK2-1476151046-570281</_dlc_DocId>
    <_dlc_DocIdUrl xmlns="f166a696-7b5b-4ccd-9f0c-ffde0cceec81">
      <Url>https://ericsson.sharepoint.com/sites/star/_layouts/15/DocIdRedir.aspx?ID=5NUHHDQN7SK2-1476151046-570281</Url>
      <Description>5NUHHDQN7SK2-1476151046-570281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D81D7FF-9566-401B-916F-E70B2B236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3.xml><?xml version="1.0" encoding="utf-8"?>
<ds:datastoreItem xmlns:ds="http://schemas.openxmlformats.org/officeDocument/2006/customXml" ds:itemID="{7F92F9D0-C43B-4E2E-898A-A59CB02A072E}">
  <ds:schemaRefs>
    <ds:schemaRef ds:uri="f166a696-7b5b-4ccd-9f0c-ffde0cceec81"/>
    <ds:schemaRef ds:uri="http://schemas.microsoft.com/sharepoint/v4"/>
    <ds:schemaRef ds:uri="http://purl.org/dc/terms/"/>
    <ds:schemaRef ds:uri="http://purl.org/dc/elements/1.1/"/>
    <ds:schemaRef ds:uri="http://purl.org/dc/dcmitype/"/>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960624EB-8177-4CD7-9852-76978623F9D4}">
  <ds:schemaRefs>
    <ds:schemaRef ds:uri="http://schemas.microsoft.com/sharepoint/events"/>
  </ds:schemaRefs>
</ds:datastoreItem>
</file>

<file path=customXml/itemProps5.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6.xml><?xml version="1.0" encoding="utf-8"?>
<ds:datastoreItem xmlns:ds="http://schemas.openxmlformats.org/officeDocument/2006/customXml" ds:itemID="{9DF87EB6-0AA9-4F4E-9DA4-C6E9848C920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13700</TotalTime>
  <Pages>9</Pages>
  <Words>4043</Words>
  <Characters>20255</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24250</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584</cp:revision>
  <dcterms:created xsi:type="dcterms:W3CDTF">2024-09-06T15:30:00Z</dcterms:created>
  <dcterms:modified xsi:type="dcterms:W3CDTF">2025-05-09T22:15:00Z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0x010100C5F30C9B16E14C8EACE5F2CC7B7AC7F400F5862E332FC6CE449700A00A9FC83FBA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